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7AC0" w14:textId="77777777" w:rsidR="00154087" w:rsidRPr="003C52BD" w:rsidRDefault="00154087" w:rsidP="00154087">
      <w:pPr>
        <w:pStyle w:val="Paragrafobase"/>
        <w:suppressAutoHyphens/>
        <w:spacing w:line="240" w:lineRule="atLeast"/>
        <w:jc w:val="center"/>
        <w:rPr>
          <w:rFonts w:ascii="Titillium Up" w:hAnsi="Titillium Up" w:cs="Titillium-BoldUpright"/>
          <w:b/>
          <w:bCs/>
          <w:color w:val="0A3776"/>
          <w:sz w:val="36"/>
          <w:szCs w:val="36"/>
        </w:rPr>
      </w:pPr>
      <w:r w:rsidRPr="003C52BD">
        <w:rPr>
          <w:rFonts w:ascii="Titillium Up" w:hAnsi="Titillium Up" w:cs="Titillium-BoldUpright"/>
          <w:b/>
          <w:bCs/>
          <w:color w:val="0A3776"/>
          <w:sz w:val="36"/>
          <w:szCs w:val="36"/>
        </w:rPr>
        <w:t>CONVENZIONE UNITA’ SINDACALE</w:t>
      </w:r>
    </w:p>
    <w:p w14:paraId="65730106" w14:textId="77777777" w:rsidR="00154087" w:rsidRPr="003C52BD" w:rsidRDefault="00154087" w:rsidP="00154087">
      <w:pPr>
        <w:pStyle w:val="Paragrafobase"/>
        <w:suppressAutoHyphens/>
        <w:spacing w:line="240" w:lineRule="atLeast"/>
        <w:jc w:val="center"/>
        <w:rPr>
          <w:rFonts w:ascii="Titillium Up" w:hAnsi="Titillium Up" w:cs="Titillium-BoldUpright"/>
          <w:b/>
          <w:bCs/>
          <w:color w:val="0A3776"/>
          <w:sz w:val="36"/>
          <w:szCs w:val="36"/>
        </w:rPr>
      </w:pPr>
      <w:r w:rsidRPr="003C52BD">
        <w:rPr>
          <w:rFonts w:ascii="Titillium Up" w:hAnsi="Titillium Up" w:cs="Titillium-BoldUpright"/>
          <w:b/>
          <w:bCs/>
          <w:color w:val="0A3776"/>
          <w:sz w:val="36"/>
          <w:szCs w:val="36"/>
        </w:rPr>
        <w:t>F.A.L.C.R.I. - S.I.L.C.E.A.- S.I.N.F.U.B.</w:t>
      </w:r>
    </w:p>
    <w:p w14:paraId="07FB24F7" w14:textId="46943733" w:rsidR="00154087" w:rsidRPr="003C52BD" w:rsidRDefault="00154087" w:rsidP="00154087">
      <w:pPr>
        <w:pStyle w:val="Paragrafobase"/>
        <w:suppressAutoHyphens/>
        <w:spacing w:line="240" w:lineRule="atLeast"/>
        <w:jc w:val="center"/>
        <w:rPr>
          <w:rFonts w:ascii="Titillium Up" w:hAnsi="Titillium Up" w:cs="Titillium-BoldUpright"/>
          <w:b/>
          <w:bCs/>
          <w:color w:val="0A3776"/>
          <w:sz w:val="36"/>
          <w:szCs w:val="36"/>
        </w:rPr>
      </w:pPr>
      <w:r w:rsidRPr="003C52BD">
        <w:rPr>
          <w:rFonts w:ascii="Titillium Up" w:hAnsi="Titillium Up" w:cs="Titillium-BoldUpright"/>
          <w:b/>
          <w:bCs/>
          <w:color w:val="0A3776"/>
          <w:sz w:val="36"/>
          <w:szCs w:val="36"/>
        </w:rPr>
        <w:t>202</w:t>
      </w:r>
      <w:r w:rsidR="00D53555">
        <w:rPr>
          <w:rFonts w:ascii="Titillium Up" w:hAnsi="Titillium Up" w:cs="Titillium-BoldUpright"/>
          <w:b/>
          <w:bCs/>
          <w:color w:val="0A3776"/>
          <w:sz w:val="36"/>
          <w:szCs w:val="36"/>
        </w:rPr>
        <w:t>2</w:t>
      </w:r>
    </w:p>
    <w:p w14:paraId="48C5CCC8" w14:textId="77777777" w:rsidR="000900B2" w:rsidRDefault="00F75DF4" w:rsidP="000900B2">
      <w:pPr>
        <w:jc w:val="center"/>
        <w:rPr>
          <w:rFonts w:ascii="Titillium Up" w:hAnsi="Titillium Up"/>
          <w:b/>
          <w:i/>
          <w:color w:val="003777"/>
          <w:sz w:val="48"/>
          <w:szCs w:val="48"/>
        </w:rPr>
      </w:pPr>
      <w:r>
        <w:rPr>
          <w:noProof/>
        </w:rPr>
        <w:drawing>
          <wp:anchor distT="0" distB="0" distL="114300" distR="114300" simplePos="0" relativeHeight="251657728" behindDoc="0" locked="0" layoutInCell="1" allowOverlap="1" wp14:anchorId="31BF3CCA" wp14:editId="108BE588">
            <wp:simplePos x="0" y="0"/>
            <wp:positionH relativeFrom="margin">
              <wp:posOffset>2367915</wp:posOffset>
            </wp:positionH>
            <wp:positionV relativeFrom="margin">
              <wp:posOffset>991235</wp:posOffset>
            </wp:positionV>
            <wp:extent cx="1915160" cy="958215"/>
            <wp:effectExtent l="0" t="0" r="0" b="0"/>
            <wp:wrapSquare wrapText="bothSides"/>
            <wp:docPr id="3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pic:cNvPicPr>
                      <a:picLocks noChangeAspect="1" noChangeArrowheads="1"/>
                    </pic:cNvPicPr>
                  </pic:nvPicPr>
                  <pic:blipFill>
                    <a:blip r:embed="rId8">
                      <a:extLst>
                        <a:ext uri="{28A0092B-C50C-407E-A947-70E740481C1C}">
                          <a14:useLocalDpi xmlns:a14="http://schemas.microsoft.com/office/drawing/2010/main" val="0"/>
                        </a:ext>
                      </a:extLst>
                    </a:blip>
                    <a:srcRect l="40395" t="12624" r="39481" b="74196"/>
                    <a:stretch>
                      <a:fillRect/>
                    </a:stretch>
                  </pic:blipFill>
                  <pic:spPr bwMode="auto">
                    <a:xfrm>
                      <a:off x="0" y="0"/>
                      <a:ext cx="1915160" cy="958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61F150B5" wp14:editId="01B21E17">
            <wp:simplePos x="0" y="0"/>
            <wp:positionH relativeFrom="column">
              <wp:posOffset>4988560</wp:posOffset>
            </wp:positionH>
            <wp:positionV relativeFrom="paragraph">
              <wp:posOffset>81915</wp:posOffset>
            </wp:positionV>
            <wp:extent cx="977900" cy="957580"/>
            <wp:effectExtent l="0" t="0" r="0" b="0"/>
            <wp:wrapNone/>
            <wp:docPr id="37" name="Immagine 11" descr="Logo_old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_old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29390A8F" wp14:editId="0C56DE41">
            <wp:simplePos x="0" y="0"/>
            <wp:positionH relativeFrom="column">
              <wp:posOffset>764540</wp:posOffset>
            </wp:positionH>
            <wp:positionV relativeFrom="paragraph">
              <wp:posOffset>81915</wp:posOffset>
            </wp:positionV>
            <wp:extent cx="963930" cy="972820"/>
            <wp:effectExtent l="0" t="0" r="0" b="0"/>
            <wp:wrapTight wrapText="bothSides">
              <wp:wrapPolygon edited="0">
                <wp:start x="0" y="0"/>
                <wp:lineTo x="0" y="21149"/>
                <wp:lineTo x="21344" y="21149"/>
                <wp:lineTo x="21344" y="0"/>
                <wp:lineTo x="0" y="0"/>
              </wp:wrapPolygon>
            </wp:wrapTight>
            <wp:docPr id="3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63930" cy="972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DDF35" w14:textId="77777777" w:rsidR="000900B2" w:rsidRDefault="000900B2" w:rsidP="000900B2">
      <w:pPr>
        <w:jc w:val="center"/>
        <w:rPr>
          <w:rFonts w:ascii="Titillium Up" w:hAnsi="Titillium Up"/>
          <w:b/>
          <w:i/>
          <w:color w:val="003777"/>
          <w:sz w:val="48"/>
          <w:szCs w:val="48"/>
        </w:rPr>
      </w:pPr>
    </w:p>
    <w:p w14:paraId="3178EA31" w14:textId="77777777" w:rsidR="000900B2" w:rsidRDefault="000900B2" w:rsidP="000900B2">
      <w:pPr>
        <w:jc w:val="center"/>
        <w:rPr>
          <w:rFonts w:ascii="Titillium Up" w:hAnsi="Titillium Up"/>
          <w:b/>
          <w:i/>
          <w:color w:val="003777"/>
          <w:sz w:val="48"/>
          <w:szCs w:val="48"/>
        </w:rPr>
      </w:pPr>
    </w:p>
    <w:p w14:paraId="06BD2FE6" w14:textId="77777777" w:rsidR="003C52BD" w:rsidRDefault="003C52BD" w:rsidP="00154087">
      <w:pPr>
        <w:pStyle w:val="Paragrafobase"/>
        <w:suppressAutoHyphens/>
        <w:spacing w:line="240" w:lineRule="atLeast"/>
        <w:jc w:val="center"/>
        <w:rPr>
          <w:rFonts w:ascii="Titillium Up" w:hAnsi="Titillium Up" w:cs="Titillium-BoldUpright"/>
          <w:b/>
          <w:bCs/>
          <w:color w:val="0A3776"/>
          <w:sz w:val="48"/>
          <w:szCs w:val="48"/>
        </w:rPr>
      </w:pPr>
    </w:p>
    <w:p w14:paraId="22E332B8" w14:textId="77777777" w:rsidR="00BA0550" w:rsidRPr="009857C8" w:rsidRDefault="00BA0550" w:rsidP="00154087">
      <w:pPr>
        <w:pStyle w:val="Paragrafobase"/>
        <w:suppressAutoHyphens/>
        <w:spacing w:line="240" w:lineRule="atLeast"/>
        <w:jc w:val="center"/>
        <w:rPr>
          <w:rFonts w:ascii="Titillium Up" w:hAnsi="Titillium Up" w:cs="Titillium-BoldUpright"/>
          <w:b/>
          <w:bCs/>
          <w:color w:val="0A3776"/>
          <w:sz w:val="48"/>
          <w:szCs w:val="48"/>
        </w:rPr>
      </w:pPr>
      <w:r w:rsidRPr="009857C8">
        <w:rPr>
          <w:rFonts w:ascii="Titillium Up" w:hAnsi="Titillium Up" w:cs="Titillium-BoldUpright"/>
          <w:b/>
          <w:bCs/>
          <w:color w:val="0A3776"/>
          <w:sz w:val="48"/>
          <w:szCs w:val="48"/>
        </w:rPr>
        <w:t>CONDIZIONI DI ASSICURAZIONE</w:t>
      </w:r>
    </w:p>
    <w:p w14:paraId="011D7E1C" w14:textId="77777777" w:rsidR="00BA0550" w:rsidRDefault="00BA0550" w:rsidP="00154087">
      <w:pPr>
        <w:pStyle w:val="Paragrafobase"/>
        <w:suppressAutoHyphens/>
        <w:spacing w:line="240" w:lineRule="atLeast"/>
        <w:jc w:val="center"/>
        <w:rPr>
          <w:rFonts w:ascii="Titillium Up" w:hAnsi="Titillium Up" w:cs="Titillium-BoldUpright"/>
          <w:b/>
          <w:bCs/>
          <w:color w:val="0A3776"/>
          <w:sz w:val="48"/>
          <w:szCs w:val="48"/>
        </w:rPr>
      </w:pPr>
      <w:r w:rsidRPr="009857C8">
        <w:rPr>
          <w:rFonts w:ascii="Titillium Up" w:hAnsi="Titillium Up" w:cs="Titillium-BoldUpright"/>
          <w:b/>
          <w:bCs/>
          <w:color w:val="0A3776"/>
          <w:sz w:val="48"/>
          <w:szCs w:val="48"/>
        </w:rPr>
        <w:t>R.C. AMMANCHI DI CASSA</w:t>
      </w:r>
    </w:p>
    <w:p w14:paraId="637BB3AA" w14:textId="77777777" w:rsidR="002638BC" w:rsidRPr="009857C8" w:rsidRDefault="002638BC" w:rsidP="00154087">
      <w:pPr>
        <w:pStyle w:val="Paragrafobase"/>
        <w:suppressAutoHyphens/>
        <w:spacing w:line="240" w:lineRule="atLeast"/>
        <w:jc w:val="center"/>
        <w:rPr>
          <w:rFonts w:ascii="Titillium Up" w:hAnsi="Titillium Up" w:cs="Titillium-BoldUpright"/>
          <w:b/>
          <w:bCs/>
          <w:color w:val="0A3776"/>
          <w:sz w:val="48"/>
          <w:szCs w:val="48"/>
        </w:rPr>
      </w:pPr>
      <w:r>
        <w:rPr>
          <w:rFonts w:ascii="Titillium Up" w:hAnsi="Titillium Up" w:cs="Titillium-BoldUpright"/>
          <w:b/>
          <w:bCs/>
          <w:color w:val="0A3776"/>
          <w:sz w:val="48"/>
          <w:szCs w:val="48"/>
        </w:rPr>
        <w:t>RC PROFESSIONALE</w:t>
      </w:r>
    </w:p>
    <w:p w14:paraId="1BA86324" w14:textId="77777777" w:rsidR="00BA0550" w:rsidRPr="009857C8" w:rsidRDefault="00BA0550" w:rsidP="00154087">
      <w:pPr>
        <w:spacing w:line="240" w:lineRule="atLeast"/>
        <w:jc w:val="center"/>
        <w:rPr>
          <w:rFonts w:ascii="Titillium Up" w:hAnsi="Titillium Up"/>
          <w:noProof/>
          <w:sz w:val="48"/>
          <w:szCs w:val="48"/>
        </w:rPr>
      </w:pPr>
      <w:r w:rsidRPr="009857C8">
        <w:rPr>
          <w:rFonts w:ascii="Titillium Up" w:hAnsi="Titillium Up" w:cs="Titillium-BoldUpright"/>
          <w:b/>
          <w:bCs/>
          <w:color w:val="0A3776"/>
          <w:sz w:val="48"/>
          <w:szCs w:val="48"/>
        </w:rPr>
        <w:t>R.C. FAMIGLIA</w:t>
      </w:r>
    </w:p>
    <w:p w14:paraId="25F02DFA" w14:textId="77777777" w:rsidR="00BA0550" w:rsidRPr="009857C8" w:rsidRDefault="00BA0550" w:rsidP="000900B2">
      <w:pPr>
        <w:rPr>
          <w:rFonts w:ascii="Titillium Up" w:hAnsi="Titillium Up"/>
          <w:noProof/>
        </w:rPr>
      </w:pPr>
    </w:p>
    <w:p w14:paraId="0A2097C1" w14:textId="77777777" w:rsidR="00FE3E42" w:rsidRDefault="00BA0550" w:rsidP="00BA0550">
      <w:pPr>
        <w:pStyle w:val="Paragrafobase"/>
        <w:suppressAutoHyphens/>
        <w:spacing w:line="240" w:lineRule="auto"/>
        <w:jc w:val="center"/>
        <w:rPr>
          <w:rFonts w:ascii="Titillium Up" w:hAnsi="Titillium Up" w:cs="Titillium-BoldUpright"/>
          <w:b/>
          <w:bCs/>
          <w:color w:val="0A3776"/>
          <w:sz w:val="32"/>
          <w:szCs w:val="32"/>
        </w:rPr>
      </w:pPr>
      <w:r w:rsidRPr="00FE3E42">
        <w:rPr>
          <w:rFonts w:ascii="Titillium Up" w:hAnsi="Titillium Up" w:cs="Titillium-BoldUpright"/>
          <w:b/>
          <w:bCs/>
          <w:color w:val="0A3776"/>
          <w:sz w:val="32"/>
          <w:szCs w:val="32"/>
        </w:rPr>
        <w:t xml:space="preserve">Convenzione riservata agli operatori di sportello </w:t>
      </w:r>
    </w:p>
    <w:p w14:paraId="1F6A88FA" w14:textId="77777777" w:rsidR="00FE3E42" w:rsidRDefault="00BA0550" w:rsidP="00BA0550">
      <w:pPr>
        <w:pStyle w:val="Paragrafobase"/>
        <w:suppressAutoHyphens/>
        <w:spacing w:line="240" w:lineRule="auto"/>
        <w:jc w:val="center"/>
        <w:rPr>
          <w:rFonts w:ascii="Titillium Up" w:hAnsi="Titillium Up" w:cs="Titillium-BoldUpright"/>
          <w:b/>
          <w:bCs/>
          <w:color w:val="0A3776"/>
          <w:sz w:val="32"/>
          <w:szCs w:val="32"/>
        </w:rPr>
      </w:pPr>
      <w:r w:rsidRPr="00FE3E42">
        <w:rPr>
          <w:rFonts w:ascii="Titillium Up" w:hAnsi="Titillium Up" w:cs="Titillium-BoldUpright"/>
          <w:b/>
          <w:bCs/>
          <w:color w:val="0A3776"/>
          <w:sz w:val="32"/>
          <w:szCs w:val="32"/>
        </w:rPr>
        <w:t>del settore credito</w:t>
      </w:r>
      <w:r w:rsidR="00FE3E42">
        <w:rPr>
          <w:rFonts w:ascii="Titillium Up" w:hAnsi="Titillium Up" w:cs="Titillium-BoldUpright"/>
          <w:b/>
          <w:bCs/>
          <w:color w:val="0A3776"/>
          <w:sz w:val="32"/>
          <w:szCs w:val="32"/>
        </w:rPr>
        <w:t xml:space="preserve"> </w:t>
      </w:r>
      <w:r w:rsidRPr="00FE3E42">
        <w:rPr>
          <w:rFonts w:ascii="Titillium Up" w:hAnsi="Titillium Up" w:cs="Titillium-BoldUpright"/>
          <w:b/>
          <w:bCs/>
          <w:color w:val="0A3776"/>
          <w:sz w:val="32"/>
          <w:szCs w:val="32"/>
        </w:rPr>
        <w:t>iscritti all’Unità Sindacale Falcri-</w:t>
      </w:r>
      <w:proofErr w:type="spellStart"/>
      <w:r w:rsidRPr="00FE3E42">
        <w:rPr>
          <w:rFonts w:ascii="Titillium Up" w:hAnsi="Titillium Up" w:cs="Titillium-BoldUpright"/>
          <w:b/>
          <w:bCs/>
          <w:color w:val="0A3776"/>
          <w:sz w:val="32"/>
          <w:szCs w:val="32"/>
        </w:rPr>
        <w:t>Silcea</w:t>
      </w:r>
      <w:proofErr w:type="spellEnd"/>
      <w:r w:rsidRPr="00FE3E42">
        <w:rPr>
          <w:rFonts w:ascii="Titillium Up" w:hAnsi="Titillium Up" w:cs="Titillium-BoldUpright"/>
          <w:b/>
          <w:bCs/>
          <w:color w:val="0A3776"/>
          <w:sz w:val="32"/>
          <w:szCs w:val="32"/>
        </w:rPr>
        <w:t>-</w:t>
      </w:r>
      <w:proofErr w:type="spellStart"/>
      <w:r w:rsidRPr="00FE3E42">
        <w:rPr>
          <w:rFonts w:ascii="Titillium Up" w:hAnsi="Titillium Up" w:cs="Titillium-BoldUpright"/>
          <w:b/>
          <w:bCs/>
          <w:color w:val="0A3776"/>
          <w:sz w:val="32"/>
          <w:szCs w:val="32"/>
        </w:rPr>
        <w:t>Sinfub</w:t>
      </w:r>
      <w:proofErr w:type="spellEnd"/>
      <w:r w:rsidRPr="00FE3E42">
        <w:rPr>
          <w:rFonts w:ascii="Titillium Up" w:hAnsi="Titillium Up" w:cs="Titillium-BoldUpright"/>
          <w:b/>
          <w:bCs/>
          <w:color w:val="0A3776"/>
          <w:sz w:val="32"/>
          <w:szCs w:val="32"/>
        </w:rPr>
        <w:t xml:space="preserve"> </w:t>
      </w:r>
    </w:p>
    <w:p w14:paraId="5515ABB2" w14:textId="77777777" w:rsidR="00BA0550" w:rsidRDefault="00BA0550" w:rsidP="003C52BD">
      <w:pPr>
        <w:pStyle w:val="Paragrafobase"/>
        <w:suppressAutoHyphens/>
        <w:spacing w:line="240" w:lineRule="auto"/>
        <w:jc w:val="center"/>
        <w:rPr>
          <w:noProof/>
        </w:rPr>
      </w:pPr>
      <w:r w:rsidRPr="00FE3E42">
        <w:rPr>
          <w:rFonts w:ascii="Titillium Up" w:hAnsi="Titillium Up" w:cs="Titillium-BoldUpright"/>
          <w:b/>
          <w:bCs/>
          <w:color w:val="0A3776"/>
          <w:sz w:val="32"/>
          <w:szCs w:val="32"/>
        </w:rPr>
        <w:t xml:space="preserve"> </w:t>
      </w:r>
    </w:p>
    <w:p w14:paraId="3B68B371" w14:textId="77777777" w:rsidR="00157E3F" w:rsidRPr="009857C8" w:rsidRDefault="00F75DF4" w:rsidP="00157E3F">
      <w:pPr>
        <w:rPr>
          <w:rFonts w:ascii="Titillium Up" w:hAnsi="Titillium Up"/>
          <w:b/>
          <w:color w:val="17365D"/>
          <w:sz w:val="24"/>
          <w:szCs w:val="24"/>
        </w:rPr>
      </w:pPr>
      <w:r w:rsidRPr="009857C8">
        <w:rPr>
          <w:rFonts w:ascii="Titillium Up" w:hAnsi="Titillium Up"/>
          <w:noProof/>
          <w:sz w:val="24"/>
          <w:szCs w:val="24"/>
        </w:rPr>
        <w:drawing>
          <wp:inline distT="0" distB="0" distL="0" distR="0" wp14:anchorId="7B9926F8" wp14:editId="3D79039C">
            <wp:extent cx="6572250" cy="22669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0" cy="2266950"/>
                    </a:xfrm>
                    <a:prstGeom prst="rect">
                      <a:avLst/>
                    </a:prstGeom>
                    <a:noFill/>
                    <a:ln>
                      <a:noFill/>
                    </a:ln>
                  </pic:spPr>
                </pic:pic>
              </a:graphicData>
            </a:graphic>
          </wp:inline>
        </w:drawing>
      </w:r>
    </w:p>
    <w:p w14:paraId="3AB8BF7B" w14:textId="77777777" w:rsidR="00157E3F" w:rsidRDefault="00157E3F" w:rsidP="00157E3F">
      <w:pPr>
        <w:rPr>
          <w:rFonts w:ascii="Titillium Up" w:hAnsi="Titillium Up"/>
          <w:b/>
          <w:color w:val="17365D"/>
          <w:sz w:val="24"/>
        </w:rPr>
      </w:pPr>
    </w:p>
    <w:p w14:paraId="5C96ABD2" w14:textId="77777777" w:rsidR="003C52BD" w:rsidRDefault="003C52BD" w:rsidP="00157E3F">
      <w:pPr>
        <w:rPr>
          <w:rFonts w:ascii="Titillium Up" w:hAnsi="Titillium Up"/>
          <w:b/>
          <w:color w:val="17365D"/>
          <w:sz w:val="24"/>
        </w:rPr>
      </w:pPr>
    </w:p>
    <w:p w14:paraId="1B4A84D6" w14:textId="77777777" w:rsidR="00157E3F" w:rsidRDefault="00F75DF4" w:rsidP="00157E3F">
      <w:pPr>
        <w:rPr>
          <w:rFonts w:ascii="Titillium Up" w:hAnsi="Titillium Up"/>
          <w:b/>
          <w:color w:val="17365D"/>
          <w:sz w:val="24"/>
        </w:rPr>
      </w:pPr>
      <w:r>
        <w:rPr>
          <w:rFonts w:ascii="Titillium Up" w:hAnsi="Titillium Up"/>
          <w:b/>
          <w:noProof/>
          <w:color w:val="17365D"/>
        </w:rPr>
        <w:drawing>
          <wp:anchor distT="0" distB="0" distL="114300" distR="114300" simplePos="0" relativeHeight="251655680" behindDoc="1" locked="0" layoutInCell="1" allowOverlap="1" wp14:anchorId="668C59E7" wp14:editId="3161D1C7">
            <wp:simplePos x="0" y="0"/>
            <wp:positionH relativeFrom="column">
              <wp:posOffset>4799965</wp:posOffset>
            </wp:positionH>
            <wp:positionV relativeFrom="paragraph">
              <wp:posOffset>34290</wp:posOffset>
            </wp:positionV>
            <wp:extent cx="1930400" cy="741680"/>
            <wp:effectExtent l="0" t="0" r="0" b="0"/>
            <wp:wrapTight wrapText="bothSides">
              <wp:wrapPolygon edited="0">
                <wp:start x="0" y="0"/>
                <wp:lineTo x="0" y="21082"/>
                <wp:lineTo x="21316" y="21082"/>
                <wp:lineTo x="21316" y="0"/>
                <wp:lineTo x="0" y="0"/>
              </wp:wrapPolygon>
            </wp:wrapTight>
            <wp:docPr id="2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040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6CEA6" w14:textId="77777777" w:rsidR="003C52BD" w:rsidRDefault="003C52BD" w:rsidP="00157E3F">
      <w:pPr>
        <w:rPr>
          <w:rFonts w:ascii="Titillium Up" w:hAnsi="Titillium Up"/>
          <w:b/>
          <w:color w:val="17365D"/>
          <w:sz w:val="24"/>
          <w:highlight w:val="yellow"/>
        </w:rPr>
      </w:pPr>
    </w:p>
    <w:p w14:paraId="0FC28608" w14:textId="1691BCC6" w:rsidR="00157E3F" w:rsidRPr="00112275" w:rsidRDefault="00157E3F" w:rsidP="00157E3F">
      <w:pPr>
        <w:rPr>
          <w:rFonts w:ascii="Titillium Up" w:hAnsi="Titillium Up"/>
          <w:b/>
          <w:color w:val="17365D"/>
          <w:sz w:val="24"/>
        </w:rPr>
      </w:pPr>
      <w:r w:rsidRPr="00F852E7">
        <w:rPr>
          <w:rFonts w:ascii="Titillium Up" w:hAnsi="Titillium Up"/>
          <w:b/>
          <w:color w:val="17365D"/>
          <w:sz w:val="24"/>
        </w:rPr>
        <w:t xml:space="preserve">Mod. </w:t>
      </w:r>
      <w:r w:rsidR="0043213A" w:rsidRPr="00F852E7">
        <w:rPr>
          <w:rFonts w:ascii="Titillium Up" w:hAnsi="Titillium Up"/>
          <w:b/>
          <w:color w:val="17365D"/>
          <w:sz w:val="24"/>
        </w:rPr>
        <w:t>5001/</w:t>
      </w:r>
      <w:r w:rsidR="00AA6C2D" w:rsidRPr="00F852E7">
        <w:rPr>
          <w:rFonts w:ascii="Titillium Up" w:hAnsi="Titillium Up"/>
          <w:b/>
          <w:color w:val="17365D"/>
          <w:sz w:val="24"/>
        </w:rPr>
        <w:t>CAPR</w:t>
      </w:r>
      <w:r w:rsidRPr="00F852E7">
        <w:rPr>
          <w:rFonts w:ascii="Titillium Up" w:hAnsi="Titillium Up"/>
          <w:b/>
          <w:color w:val="17365D"/>
          <w:sz w:val="24"/>
        </w:rPr>
        <w:t xml:space="preserve"> </w:t>
      </w:r>
      <w:r w:rsidR="00BA0550" w:rsidRPr="00F852E7">
        <w:rPr>
          <w:rFonts w:ascii="Titillium Up" w:hAnsi="Titillium Up"/>
          <w:b/>
          <w:color w:val="17365D"/>
          <w:sz w:val="24"/>
        </w:rPr>
        <w:t>RCG</w:t>
      </w:r>
      <w:r w:rsidRPr="00F852E7">
        <w:rPr>
          <w:rFonts w:ascii="Titillium Up" w:hAnsi="Titillium Up"/>
          <w:b/>
          <w:color w:val="17365D"/>
          <w:sz w:val="24"/>
        </w:rPr>
        <w:t xml:space="preserve"> - Ed. </w:t>
      </w:r>
    </w:p>
    <w:p w14:paraId="349C9E93" w14:textId="77777777" w:rsidR="00157E3F" w:rsidRDefault="00F75DF4" w:rsidP="00157E3F">
      <w:pPr>
        <w:rPr>
          <w:noProof/>
        </w:rPr>
      </w:pPr>
      <w:r>
        <w:rPr>
          <w:noProof/>
        </w:rPr>
        <w:drawing>
          <wp:anchor distT="0" distB="0" distL="114300" distR="114300" simplePos="0" relativeHeight="251656704" behindDoc="0" locked="0" layoutInCell="1" allowOverlap="1" wp14:anchorId="10B9977D" wp14:editId="3AF541DF">
            <wp:simplePos x="0" y="0"/>
            <wp:positionH relativeFrom="column">
              <wp:posOffset>4829175</wp:posOffset>
            </wp:positionH>
            <wp:positionV relativeFrom="paragraph">
              <wp:posOffset>125730</wp:posOffset>
            </wp:positionV>
            <wp:extent cx="1827530" cy="228600"/>
            <wp:effectExtent l="0" t="0" r="0" b="0"/>
            <wp:wrapNone/>
            <wp:docPr id="29" name="Immagin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753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C33AF" w14:textId="77777777" w:rsidR="00157E3F" w:rsidRDefault="00157E3F" w:rsidP="00157E3F">
      <w:pPr>
        <w:rPr>
          <w:noProof/>
        </w:rPr>
      </w:pPr>
    </w:p>
    <w:p w14:paraId="72D7A8F2" w14:textId="77777777" w:rsidR="000900B2" w:rsidRDefault="000900B2" w:rsidP="000900B2">
      <w:pPr>
        <w:rPr>
          <w:noProof/>
        </w:rPr>
      </w:pPr>
    </w:p>
    <w:p w14:paraId="56794D2A" w14:textId="77777777" w:rsidR="000900B2" w:rsidRDefault="000900B2" w:rsidP="000900B2">
      <w:pPr>
        <w:rPr>
          <w:noProof/>
        </w:rPr>
      </w:pPr>
    </w:p>
    <w:p w14:paraId="06922AD7" w14:textId="77777777" w:rsidR="004A3292" w:rsidRDefault="004A3292" w:rsidP="004A3292">
      <w:pPr>
        <w:tabs>
          <w:tab w:val="left" w:pos="567"/>
        </w:tabs>
        <w:spacing w:line="360" w:lineRule="auto"/>
        <w:ind w:right="352"/>
        <w:jc w:val="both"/>
        <w:rPr>
          <w:rFonts w:ascii="Arial" w:hAnsi="Arial" w:cs="Arial"/>
          <w:b/>
          <w:sz w:val="16"/>
          <w:szCs w:val="16"/>
        </w:rPr>
      </w:pPr>
    </w:p>
    <w:p w14:paraId="308220C5" w14:textId="77777777" w:rsidR="00BA0550" w:rsidRPr="0043213A" w:rsidRDefault="00BA0550" w:rsidP="00BA0550">
      <w:pPr>
        <w:autoSpaceDE w:val="0"/>
        <w:autoSpaceDN w:val="0"/>
        <w:adjustRightInd w:val="0"/>
        <w:jc w:val="center"/>
        <w:rPr>
          <w:rFonts w:ascii="Titillium Up" w:hAnsi="Titillium Up"/>
          <w:b/>
          <w:bCs/>
          <w:sz w:val="24"/>
          <w:szCs w:val="24"/>
        </w:rPr>
      </w:pPr>
      <w:r w:rsidRPr="0043213A">
        <w:rPr>
          <w:rFonts w:ascii="Titillium Up" w:hAnsi="Titillium Up"/>
          <w:b/>
          <w:bCs/>
          <w:sz w:val="24"/>
          <w:szCs w:val="24"/>
        </w:rPr>
        <w:t xml:space="preserve">CONVENZIONE </w:t>
      </w:r>
    </w:p>
    <w:p w14:paraId="0B2FF4EB" w14:textId="77777777" w:rsidR="00BA0550" w:rsidRPr="0043213A" w:rsidRDefault="00BA0550" w:rsidP="00BA0550">
      <w:pPr>
        <w:autoSpaceDE w:val="0"/>
        <w:autoSpaceDN w:val="0"/>
        <w:adjustRightInd w:val="0"/>
        <w:jc w:val="center"/>
        <w:rPr>
          <w:rFonts w:ascii="Titillium Up" w:hAnsi="Titillium Up"/>
          <w:b/>
          <w:bCs/>
          <w:sz w:val="29"/>
          <w:szCs w:val="29"/>
        </w:rPr>
      </w:pPr>
      <w:r w:rsidRPr="0043213A">
        <w:rPr>
          <w:rFonts w:ascii="Titillium Up" w:hAnsi="Titillium Up"/>
          <w:b/>
          <w:bCs/>
          <w:sz w:val="29"/>
          <w:szCs w:val="29"/>
        </w:rPr>
        <w:t>UNITA’ SINDACALE</w:t>
      </w:r>
    </w:p>
    <w:p w14:paraId="49D39C8F" w14:textId="77777777" w:rsidR="00BA0550" w:rsidRPr="0043213A" w:rsidRDefault="00BA0550" w:rsidP="00BA0550">
      <w:pPr>
        <w:autoSpaceDE w:val="0"/>
        <w:autoSpaceDN w:val="0"/>
        <w:adjustRightInd w:val="0"/>
        <w:jc w:val="center"/>
        <w:rPr>
          <w:rFonts w:ascii="Titillium Up" w:hAnsi="Titillium Up"/>
          <w:b/>
          <w:bCs/>
          <w:sz w:val="29"/>
          <w:szCs w:val="29"/>
        </w:rPr>
      </w:pPr>
      <w:r w:rsidRPr="0043213A">
        <w:rPr>
          <w:rFonts w:ascii="Titillium Up" w:hAnsi="Titillium Up"/>
          <w:b/>
          <w:bCs/>
          <w:sz w:val="29"/>
          <w:szCs w:val="29"/>
        </w:rPr>
        <w:t xml:space="preserve"> F.A.L.C.R.I. – S.I.L.C.E.A.-S.I.N.F.U.B</w:t>
      </w:r>
    </w:p>
    <w:p w14:paraId="5629F4D6" w14:textId="77777777" w:rsidR="00BE3F39" w:rsidRPr="0043213A" w:rsidRDefault="00BE3F39" w:rsidP="00BA0550">
      <w:pPr>
        <w:autoSpaceDE w:val="0"/>
        <w:autoSpaceDN w:val="0"/>
        <w:adjustRightInd w:val="0"/>
        <w:jc w:val="center"/>
        <w:rPr>
          <w:rFonts w:ascii="Titillium Up" w:hAnsi="Titillium Up"/>
          <w:b/>
          <w:bCs/>
          <w:sz w:val="24"/>
          <w:szCs w:val="24"/>
        </w:rPr>
      </w:pPr>
      <w:r w:rsidRPr="0043213A">
        <w:rPr>
          <w:rFonts w:ascii="Titillium Up" w:hAnsi="Titillium Up"/>
          <w:b/>
          <w:bCs/>
          <w:sz w:val="24"/>
          <w:szCs w:val="24"/>
        </w:rPr>
        <w:t>RC AMMANCHI DI CASSA</w:t>
      </w:r>
    </w:p>
    <w:p w14:paraId="22A29C3F" w14:textId="77777777" w:rsidR="00BA0550" w:rsidRPr="0043213A" w:rsidRDefault="00BA0550" w:rsidP="00BA0550">
      <w:pPr>
        <w:autoSpaceDE w:val="0"/>
        <w:autoSpaceDN w:val="0"/>
        <w:adjustRightInd w:val="0"/>
        <w:jc w:val="center"/>
        <w:rPr>
          <w:rFonts w:ascii="Titillium Up" w:hAnsi="Titillium Up"/>
          <w:b/>
          <w:bCs/>
          <w:sz w:val="24"/>
          <w:szCs w:val="24"/>
        </w:rPr>
      </w:pPr>
      <w:r w:rsidRPr="0043213A">
        <w:rPr>
          <w:rFonts w:ascii="Titillium Up" w:hAnsi="Titillium Up"/>
          <w:b/>
          <w:bCs/>
          <w:sz w:val="24"/>
          <w:szCs w:val="24"/>
        </w:rPr>
        <w:t>R.C. PROFESSIONALE</w:t>
      </w:r>
    </w:p>
    <w:p w14:paraId="5350E2F2" w14:textId="77777777" w:rsidR="00BA0550" w:rsidRPr="0043213A" w:rsidRDefault="00BA0550" w:rsidP="00BA0550">
      <w:pPr>
        <w:autoSpaceDE w:val="0"/>
        <w:autoSpaceDN w:val="0"/>
        <w:adjustRightInd w:val="0"/>
        <w:jc w:val="center"/>
        <w:rPr>
          <w:rFonts w:ascii="Titillium Up" w:hAnsi="Titillium Up"/>
          <w:b/>
          <w:bCs/>
          <w:sz w:val="24"/>
          <w:szCs w:val="24"/>
        </w:rPr>
      </w:pPr>
      <w:r w:rsidRPr="0043213A">
        <w:rPr>
          <w:rFonts w:ascii="Titillium Up" w:hAnsi="Titillium Up"/>
          <w:b/>
          <w:bCs/>
          <w:sz w:val="24"/>
          <w:szCs w:val="24"/>
        </w:rPr>
        <w:t>R.C. FAMIGLIA</w:t>
      </w:r>
    </w:p>
    <w:p w14:paraId="611F3162" w14:textId="77777777" w:rsidR="0043213A" w:rsidRPr="0043213A" w:rsidRDefault="00BA0550" w:rsidP="00BA0550">
      <w:pPr>
        <w:autoSpaceDE w:val="0"/>
        <w:autoSpaceDN w:val="0"/>
        <w:adjustRightInd w:val="0"/>
        <w:rPr>
          <w:rFonts w:ascii="Titillium Up" w:hAnsi="Titillium Up"/>
          <w:sz w:val="24"/>
          <w:szCs w:val="24"/>
        </w:rPr>
      </w:pPr>
      <w:r w:rsidRPr="0043213A">
        <w:rPr>
          <w:rFonts w:ascii="Titillium Up" w:hAnsi="Titillium Up"/>
          <w:sz w:val="24"/>
          <w:szCs w:val="24"/>
        </w:rPr>
        <w:t>Numero di polizza</w:t>
      </w:r>
    </w:p>
    <w:p w14:paraId="04B663C8" w14:textId="77777777" w:rsidR="00BA0550" w:rsidRPr="0043213A" w:rsidRDefault="00BA0550" w:rsidP="00BA0550">
      <w:pPr>
        <w:autoSpaceDE w:val="0"/>
        <w:autoSpaceDN w:val="0"/>
        <w:adjustRightInd w:val="0"/>
        <w:rPr>
          <w:rFonts w:ascii="Titillium Up" w:hAnsi="Titillium Up"/>
          <w:sz w:val="24"/>
          <w:szCs w:val="24"/>
        </w:rPr>
      </w:pPr>
      <w:r w:rsidRPr="0043213A">
        <w:rPr>
          <w:rFonts w:ascii="Titillium Up" w:hAnsi="Titillium Up"/>
          <w:sz w:val="24"/>
          <w:szCs w:val="24"/>
        </w:rPr>
        <w:t xml:space="preserve"> </w:t>
      </w:r>
    </w:p>
    <w:p w14:paraId="641EA7B3" w14:textId="77777777" w:rsidR="00BA0550" w:rsidRPr="0043213A" w:rsidRDefault="00BA0550" w:rsidP="00BA0550">
      <w:pPr>
        <w:autoSpaceDE w:val="0"/>
        <w:autoSpaceDN w:val="0"/>
        <w:adjustRightInd w:val="0"/>
        <w:rPr>
          <w:rFonts w:ascii="Titillium Up" w:hAnsi="Titillium Up"/>
          <w:b/>
          <w:bCs/>
          <w:sz w:val="24"/>
          <w:szCs w:val="24"/>
        </w:rPr>
      </w:pPr>
      <w:r w:rsidRPr="0043213A">
        <w:rPr>
          <w:rFonts w:ascii="Titillium Up" w:hAnsi="Titillium Up"/>
          <w:b/>
          <w:bCs/>
          <w:sz w:val="24"/>
          <w:szCs w:val="24"/>
        </w:rPr>
        <w:t>…………………..</w:t>
      </w:r>
    </w:p>
    <w:p w14:paraId="07147923" w14:textId="77777777" w:rsidR="0043213A" w:rsidRPr="0043213A" w:rsidRDefault="0043213A" w:rsidP="00BA0550">
      <w:pPr>
        <w:autoSpaceDE w:val="0"/>
        <w:autoSpaceDN w:val="0"/>
        <w:adjustRightInd w:val="0"/>
        <w:rPr>
          <w:rFonts w:ascii="Titillium Up" w:hAnsi="Titillium Up"/>
          <w:b/>
          <w:bCs/>
          <w:sz w:val="24"/>
          <w:szCs w:val="24"/>
        </w:rPr>
      </w:pPr>
    </w:p>
    <w:p w14:paraId="3777F7E7" w14:textId="77777777" w:rsidR="00BA0550" w:rsidRPr="0043213A" w:rsidRDefault="00BA0550" w:rsidP="00BA0550">
      <w:pPr>
        <w:autoSpaceDE w:val="0"/>
        <w:autoSpaceDN w:val="0"/>
        <w:adjustRightInd w:val="0"/>
        <w:rPr>
          <w:rFonts w:ascii="Titillium Up" w:hAnsi="Titillium Up"/>
          <w:b/>
          <w:bCs/>
          <w:sz w:val="24"/>
          <w:szCs w:val="24"/>
        </w:rPr>
      </w:pPr>
    </w:p>
    <w:p w14:paraId="106E17A3" w14:textId="77777777" w:rsidR="00BA0550" w:rsidRPr="0043213A" w:rsidRDefault="00BA0550" w:rsidP="00BA0550">
      <w:pPr>
        <w:autoSpaceDE w:val="0"/>
        <w:autoSpaceDN w:val="0"/>
        <w:adjustRightInd w:val="0"/>
        <w:rPr>
          <w:rFonts w:ascii="Titillium Up" w:hAnsi="Titillium Up"/>
          <w:b/>
          <w:bCs/>
          <w:sz w:val="24"/>
          <w:szCs w:val="24"/>
        </w:rPr>
      </w:pPr>
      <w:r w:rsidRPr="0043213A">
        <w:rPr>
          <w:rFonts w:ascii="Titillium Up" w:hAnsi="Titillium Up"/>
          <w:b/>
          <w:bCs/>
          <w:sz w:val="24"/>
          <w:szCs w:val="24"/>
        </w:rPr>
        <w:t>INTERMEDIARIO:</w:t>
      </w:r>
      <w:r w:rsidRPr="0043213A">
        <w:rPr>
          <w:rFonts w:ascii="Titillium Up" w:hAnsi="Titillium Up"/>
          <w:b/>
          <w:bCs/>
          <w:sz w:val="24"/>
          <w:szCs w:val="24"/>
        </w:rPr>
        <w:tab/>
      </w:r>
      <w:r w:rsidRPr="0043213A">
        <w:rPr>
          <w:rFonts w:ascii="Titillium Up" w:hAnsi="Titillium Up"/>
          <w:b/>
          <w:bCs/>
          <w:sz w:val="24"/>
          <w:szCs w:val="24"/>
        </w:rPr>
        <w:tab/>
        <w:t>AMINTA</w:t>
      </w:r>
      <w:r w:rsidR="00526F98">
        <w:rPr>
          <w:rFonts w:ascii="Titillium Up" w:hAnsi="Titillium Up"/>
          <w:b/>
          <w:bCs/>
          <w:sz w:val="24"/>
          <w:szCs w:val="24"/>
        </w:rPr>
        <w:t xml:space="preserve"> </w:t>
      </w:r>
      <w:r w:rsidRPr="0043213A">
        <w:rPr>
          <w:rFonts w:ascii="Titillium Up" w:hAnsi="Titillium Up"/>
          <w:b/>
          <w:bCs/>
          <w:sz w:val="24"/>
          <w:szCs w:val="24"/>
        </w:rPr>
        <w:t xml:space="preserve">S.r.l. - Insurance Broker </w:t>
      </w:r>
    </w:p>
    <w:p w14:paraId="6A8D7CF6" w14:textId="77777777" w:rsidR="00BA0550" w:rsidRPr="0043213A" w:rsidRDefault="00BA0550" w:rsidP="00BA0550">
      <w:pPr>
        <w:autoSpaceDE w:val="0"/>
        <w:autoSpaceDN w:val="0"/>
        <w:adjustRightInd w:val="0"/>
        <w:ind w:left="1416" w:firstLine="708"/>
        <w:rPr>
          <w:rFonts w:ascii="Titillium Up" w:hAnsi="Titillium Up"/>
          <w:b/>
          <w:bCs/>
          <w:sz w:val="24"/>
          <w:szCs w:val="24"/>
        </w:rPr>
      </w:pPr>
      <w:r w:rsidRPr="0043213A">
        <w:rPr>
          <w:rFonts w:ascii="Titillium Up" w:hAnsi="Titillium Up"/>
          <w:b/>
          <w:bCs/>
          <w:sz w:val="24"/>
          <w:szCs w:val="24"/>
        </w:rPr>
        <w:tab/>
        <w:t>Consulenze e Gestioni Assicurative</w:t>
      </w:r>
    </w:p>
    <w:p w14:paraId="50FFE4C6" w14:textId="77777777" w:rsidR="00BA0550" w:rsidRPr="0043213A" w:rsidRDefault="00BA0550" w:rsidP="00BA0550">
      <w:pPr>
        <w:autoSpaceDE w:val="0"/>
        <w:autoSpaceDN w:val="0"/>
        <w:adjustRightInd w:val="0"/>
        <w:ind w:left="1416" w:firstLine="708"/>
        <w:rPr>
          <w:rFonts w:ascii="Titillium Up" w:hAnsi="Titillium Up"/>
          <w:b/>
          <w:bCs/>
          <w:sz w:val="24"/>
          <w:szCs w:val="24"/>
        </w:rPr>
      </w:pPr>
      <w:r w:rsidRPr="0043213A">
        <w:rPr>
          <w:rFonts w:ascii="Titillium Up" w:hAnsi="Titillium Up"/>
          <w:b/>
          <w:bCs/>
          <w:sz w:val="24"/>
          <w:szCs w:val="24"/>
        </w:rPr>
        <w:tab/>
        <w:t>Corso Correnti 58/A 10136 Torino</w:t>
      </w:r>
    </w:p>
    <w:p w14:paraId="03F85FFE" w14:textId="77777777" w:rsidR="00BA0550" w:rsidRPr="0043213A" w:rsidRDefault="00BA0550" w:rsidP="00BA0550">
      <w:pPr>
        <w:autoSpaceDE w:val="0"/>
        <w:autoSpaceDN w:val="0"/>
        <w:adjustRightInd w:val="0"/>
        <w:ind w:left="1416" w:firstLine="708"/>
        <w:rPr>
          <w:rFonts w:ascii="Titillium Up" w:hAnsi="Titillium Up"/>
          <w:b/>
          <w:bCs/>
          <w:sz w:val="24"/>
          <w:szCs w:val="24"/>
        </w:rPr>
      </w:pPr>
      <w:r w:rsidRPr="0043213A">
        <w:rPr>
          <w:rFonts w:ascii="Titillium Up" w:hAnsi="Titillium Up"/>
          <w:b/>
          <w:bCs/>
          <w:sz w:val="24"/>
          <w:szCs w:val="24"/>
        </w:rPr>
        <w:tab/>
        <w:t>www.amintabroker.com</w:t>
      </w:r>
    </w:p>
    <w:p w14:paraId="6A874180" w14:textId="77777777" w:rsidR="00BA0550" w:rsidRPr="0043213A" w:rsidRDefault="00BA0550" w:rsidP="00BA0550">
      <w:pPr>
        <w:autoSpaceDE w:val="0"/>
        <w:autoSpaceDN w:val="0"/>
        <w:adjustRightInd w:val="0"/>
        <w:rPr>
          <w:rFonts w:ascii="Titillium Up" w:hAnsi="Titillium Up"/>
          <w:sz w:val="24"/>
          <w:szCs w:val="24"/>
        </w:rPr>
      </w:pPr>
    </w:p>
    <w:p w14:paraId="61E8CE79" w14:textId="77777777" w:rsidR="00BA0550" w:rsidRPr="0043213A" w:rsidRDefault="00BA0550" w:rsidP="00BA0550">
      <w:pPr>
        <w:autoSpaceDE w:val="0"/>
        <w:autoSpaceDN w:val="0"/>
        <w:adjustRightInd w:val="0"/>
        <w:ind w:left="2124" w:hanging="2124"/>
        <w:rPr>
          <w:rFonts w:ascii="Titillium Up" w:hAnsi="Titillium Up"/>
          <w:b/>
          <w:sz w:val="24"/>
          <w:szCs w:val="24"/>
        </w:rPr>
      </w:pPr>
      <w:r w:rsidRPr="0043213A">
        <w:rPr>
          <w:rFonts w:ascii="Titillium Up" w:hAnsi="Titillium Up"/>
          <w:b/>
          <w:bCs/>
          <w:sz w:val="24"/>
          <w:szCs w:val="24"/>
        </w:rPr>
        <w:t>CONTRAENTE</w:t>
      </w:r>
      <w:r w:rsidRPr="0043213A">
        <w:rPr>
          <w:rFonts w:ascii="Titillium Up" w:hAnsi="Titillium Up"/>
          <w:sz w:val="24"/>
          <w:szCs w:val="24"/>
        </w:rPr>
        <w:t xml:space="preserve"> :</w:t>
      </w:r>
      <w:r w:rsidRPr="0043213A">
        <w:rPr>
          <w:rFonts w:ascii="Titillium Up" w:hAnsi="Titillium Up"/>
          <w:sz w:val="24"/>
          <w:szCs w:val="24"/>
        </w:rPr>
        <w:tab/>
      </w:r>
      <w:r w:rsidRPr="0043213A">
        <w:rPr>
          <w:rFonts w:ascii="Titillium Up" w:hAnsi="Titillium Up"/>
          <w:sz w:val="24"/>
          <w:szCs w:val="24"/>
        </w:rPr>
        <w:tab/>
      </w:r>
      <w:r w:rsidRPr="0043213A">
        <w:rPr>
          <w:rFonts w:ascii="Titillium Up" w:hAnsi="Titillium Up"/>
          <w:b/>
          <w:sz w:val="24"/>
          <w:szCs w:val="24"/>
        </w:rPr>
        <w:t>UNITA’ SINDACALE  F.A.L.C.R.I. – S.I.L.C.E.A.-S.I.N.F.U.B.</w:t>
      </w:r>
    </w:p>
    <w:p w14:paraId="3B45E547" w14:textId="77777777" w:rsidR="00BA0550" w:rsidRPr="0043213A" w:rsidRDefault="00BA0550" w:rsidP="00BA0550">
      <w:pPr>
        <w:autoSpaceDE w:val="0"/>
        <w:autoSpaceDN w:val="0"/>
        <w:adjustRightInd w:val="0"/>
        <w:ind w:left="2124" w:hanging="2124"/>
        <w:rPr>
          <w:rFonts w:ascii="Titillium Up" w:hAnsi="Titillium Up"/>
          <w:b/>
          <w:sz w:val="24"/>
          <w:szCs w:val="24"/>
        </w:rPr>
      </w:pPr>
      <w:r w:rsidRPr="0043213A">
        <w:rPr>
          <w:rFonts w:ascii="Titillium Up" w:hAnsi="Titillium Up"/>
          <w:b/>
          <w:sz w:val="24"/>
          <w:szCs w:val="24"/>
        </w:rPr>
        <w:t xml:space="preserve">                                   </w:t>
      </w:r>
      <w:r w:rsidRPr="0043213A">
        <w:rPr>
          <w:rFonts w:ascii="Titillium Up" w:hAnsi="Titillium Up"/>
          <w:b/>
          <w:sz w:val="24"/>
          <w:szCs w:val="24"/>
        </w:rPr>
        <w:tab/>
      </w:r>
      <w:r w:rsidRPr="0043213A">
        <w:rPr>
          <w:rFonts w:ascii="Titillium Up" w:hAnsi="Titillium Up"/>
          <w:b/>
          <w:sz w:val="24"/>
          <w:szCs w:val="24"/>
        </w:rPr>
        <w:tab/>
        <w:t xml:space="preserve">Viale Liegi 48/b   00198 ROMA </w:t>
      </w:r>
    </w:p>
    <w:p w14:paraId="0379AF29" w14:textId="77777777" w:rsidR="00BA0550" w:rsidRPr="0043213A" w:rsidRDefault="00BA0550" w:rsidP="00BA0550">
      <w:pPr>
        <w:autoSpaceDE w:val="0"/>
        <w:autoSpaceDN w:val="0"/>
        <w:adjustRightInd w:val="0"/>
        <w:ind w:left="2124" w:hanging="2124"/>
        <w:rPr>
          <w:rFonts w:ascii="Titillium Up" w:hAnsi="Titillium Up"/>
          <w:b/>
          <w:sz w:val="24"/>
          <w:szCs w:val="24"/>
        </w:rPr>
      </w:pPr>
      <w:r w:rsidRPr="0043213A">
        <w:rPr>
          <w:rFonts w:ascii="Titillium Up" w:hAnsi="Titillium Up"/>
          <w:b/>
          <w:sz w:val="24"/>
          <w:szCs w:val="24"/>
        </w:rPr>
        <w:tab/>
      </w:r>
      <w:r w:rsidRPr="0043213A">
        <w:rPr>
          <w:rFonts w:ascii="Titillium Up" w:hAnsi="Titillium Up"/>
          <w:b/>
          <w:sz w:val="24"/>
          <w:szCs w:val="24"/>
        </w:rPr>
        <w:tab/>
        <w:t>Cod. fiscale  80418190585</w:t>
      </w:r>
    </w:p>
    <w:p w14:paraId="6E416D9E" w14:textId="77777777" w:rsidR="00BA0550" w:rsidRPr="0043213A" w:rsidRDefault="00BA0550" w:rsidP="00BA0550">
      <w:pPr>
        <w:autoSpaceDE w:val="0"/>
        <w:autoSpaceDN w:val="0"/>
        <w:adjustRightInd w:val="0"/>
        <w:ind w:left="2124" w:hanging="2124"/>
        <w:rPr>
          <w:rFonts w:ascii="Titillium Up" w:hAnsi="Titillium Up"/>
          <w:b/>
          <w:bCs/>
          <w:sz w:val="24"/>
          <w:szCs w:val="24"/>
        </w:rPr>
      </w:pPr>
    </w:p>
    <w:p w14:paraId="5F17294D" w14:textId="77777777" w:rsidR="00BA0550" w:rsidRPr="0043213A" w:rsidRDefault="00BA0550" w:rsidP="00BA0550">
      <w:pPr>
        <w:autoSpaceDE w:val="0"/>
        <w:autoSpaceDN w:val="0"/>
        <w:adjustRightInd w:val="0"/>
        <w:rPr>
          <w:rFonts w:ascii="Titillium Up" w:hAnsi="Titillium Up"/>
          <w:b/>
          <w:bCs/>
          <w:sz w:val="24"/>
          <w:szCs w:val="24"/>
        </w:rPr>
      </w:pPr>
    </w:p>
    <w:p w14:paraId="16986630" w14:textId="77777777" w:rsidR="00BA0550" w:rsidRPr="0043213A" w:rsidRDefault="00BA0550" w:rsidP="00BA0550">
      <w:pPr>
        <w:autoSpaceDE w:val="0"/>
        <w:autoSpaceDN w:val="0"/>
        <w:adjustRightInd w:val="0"/>
        <w:rPr>
          <w:rFonts w:ascii="Titillium Up" w:hAnsi="Titillium Up"/>
          <w:b/>
          <w:bCs/>
          <w:sz w:val="24"/>
          <w:szCs w:val="24"/>
        </w:rPr>
      </w:pPr>
      <w:r w:rsidRPr="0043213A">
        <w:rPr>
          <w:rFonts w:ascii="Titillium Up" w:hAnsi="Titillium Up"/>
          <w:b/>
          <w:bCs/>
          <w:sz w:val="24"/>
          <w:szCs w:val="24"/>
        </w:rPr>
        <w:t>ESTREMI DEL CONTRATTO:</w:t>
      </w:r>
    </w:p>
    <w:p w14:paraId="6F94F289" w14:textId="306B968D" w:rsidR="00BA0550" w:rsidRPr="0043213A" w:rsidRDefault="00BA0550" w:rsidP="00BA0550">
      <w:pPr>
        <w:autoSpaceDE w:val="0"/>
        <w:autoSpaceDN w:val="0"/>
        <w:adjustRightInd w:val="0"/>
        <w:rPr>
          <w:rFonts w:ascii="Titillium Up" w:hAnsi="Titillium Up"/>
          <w:sz w:val="24"/>
          <w:szCs w:val="24"/>
        </w:rPr>
      </w:pPr>
      <w:r w:rsidRPr="0043213A">
        <w:rPr>
          <w:rFonts w:ascii="Titillium Up" w:hAnsi="Titillium Up"/>
          <w:sz w:val="24"/>
          <w:szCs w:val="24"/>
        </w:rPr>
        <w:t>Decorrenza ore 24 del 31.12.202</w:t>
      </w:r>
      <w:r w:rsidR="00D53555">
        <w:rPr>
          <w:rFonts w:ascii="Titillium Up" w:hAnsi="Titillium Up"/>
          <w:sz w:val="24"/>
          <w:szCs w:val="24"/>
        </w:rPr>
        <w:t>1</w:t>
      </w:r>
      <w:r w:rsidRPr="0043213A">
        <w:rPr>
          <w:rFonts w:ascii="Titillium Up" w:hAnsi="Titillium Up"/>
          <w:sz w:val="24"/>
          <w:szCs w:val="24"/>
        </w:rPr>
        <w:t xml:space="preserve"> Scadenza ore 24 del 31.12.202</w:t>
      </w:r>
      <w:r w:rsidR="00D53555">
        <w:rPr>
          <w:rFonts w:ascii="Titillium Up" w:hAnsi="Titillium Up"/>
          <w:sz w:val="24"/>
          <w:szCs w:val="24"/>
        </w:rPr>
        <w:t>2</w:t>
      </w:r>
    </w:p>
    <w:p w14:paraId="40296D54" w14:textId="77777777" w:rsidR="00BA0550" w:rsidRPr="0043213A" w:rsidRDefault="00BA0550" w:rsidP="00BA0550">
      <w:pPr>
        <w:autoSpaceDE w:val="0"/>
        <w:autoSpaceDN w:val="0"/>
        <w:adjustRightInd w:val="0"/>
        <w:rPr>
          <w:rFonts w:ascii="Titillium Up" w:hAnsi="Titillium Up"/>
          <w:sz w:val="24"/>
          <w:szCs w:val="24"/>
        </w:rPr>
      </w:pPr>
      <w:r w:rsidRPr="0043213A">
        <w:rPr>
          <w:rFonts w:ascii="Titillium Up" w:hAnsi="Titillium Up"/>
          <w:sz w:val="24"/>
          <w:szCs w:val="24"/>
        </w:rPr>
        <w:t>Senza Tacita Proroga</w:t>
      </w:r>
    </w:p>
    <w:p w14:paraId="1053F73A" w14:textId="77777777" w:rsidR="00BA0550" w:rsidRPr="0043213A" w:rsidRDefault="00BA0550" w:rsidP="00BA0550">
      <w:pPr>
        <w:autoSpaceDE w:val="0"/>
        <w:autoSpaceDN w:val="0"/>
        <w:adjustRightInd w:val="0"/>
        <w:rPr>
          <w:rFonts w:ascii="Titillium Up" w:hAnsi="Titillium Up"/>
          <w:sz w:val="24"/>
          <w:szCs w:val="24"/>
        </w:rPr>
      </w:pPr>
    </w:p>
    <w:p w14:paraId="00401908" w14:textId="77777777" w:rsidR="00BA0550" w:rsidRPr="0043213A" w:rsidRDefault="00BA0550" w:rsidP="00BA0550">
      <w:pPr>
        <w:autoSpaceDE w:val="0"/>
        <w:autoSpaceDN w:val="0"/>
        <w:adjustRightInd w:val="0"/>
        <w:rPr>
          <w:rFonts w:ascii="Titillium Up" w:hAnsi="Titillium Up"/>
          <w:sz w:val="24"/>
          <w:szCs w:val="24"/>
        </w:rPr>
      </w:pPr>
    </w:p>
    <w:p w14:paraId="360CFAC9" w14:textId="77777777" w:rsidR="00BE3F39" w:rsidRPr="0043213A" w:rsidRDefault="00BE3F39" w:rsidP="00BE3F39">
      <w:pPr>
        <w:rPr>
          <w:rFonts w:ascii="Titillium Up" w:hAnsi="Titillium Up"/>
          <w:sz w:val="24"/>
          <w:szCs w:val="24"/>
        </w:rPr>
      </w:pPr>
      <w:r w:rsidRPr="0043213A">
        <w:rPr>
          <w:rFonts w:ascii="Titillium Up" w:hAnsi="Titillium Up"/>
          <w:sz w:val="24"/>
          <w:szCs w:val="24"/>
        </w:rPr>
        <w:t>Premio anticipato TOTALE della rata unica € 5.000,00= così scorporato: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5"/>
        <w:gridCol w:w="1956"/>
        <w:gridCol w:w="1956"/>
      </w:tblGrid>
      <w:tr w:rsidR="00BE3F39" w:rsidRPr="0043213A" w14:paraId="471AA7C3" w14:textId="77777777" w:rsidTr="00B7258D">
        <w:tc>
          <w:tcPr>
            <w:tcW w:w="1885" w:type="dxa"/>
          </w:tcPr>
          <w:p w14:paraId="2AFDB150" w14:textId="77777777" w:rsidR="00BE3F39" w:rsidRPr="0043213A" w:rsidRDefault="00BE3F39" w:rsidP="00B7258D">
            <w:pPr>
              <w:jc w:val="center"/>
              <w:rPr>
                <w:rFonts w:ascii="Titillium Up" w:hAnsi="Titillium Up"/>
                <w:sz w:val="24"/>
                <w:szCs w:val="24"/>
              </w:rPr>
            </w:pPr>
            <w:r w:rsidRPr="0043213A">
              <w:rPr>
                <w:rFonts w:ascii="Titillium Up" w:hAnsi="Titillium Up"/>
                <w:sz w:val="24"/>
                <w:szCs w:val="24"/>
              </w:rPr>
              <w:t>premio netto</w:t>
            </w:r>
          </w:p>
        </w:tc>
        <w:tc>
          <w:tcPr>
            <w:tcW w:w="1956" w:type="dxa"/>
          </w:tcPr>
          <w:p w14:paraId="61880614" w14:textId="77777777" w:rsidR="00BE3F39" w:rsidRPr="0043213A" w:rsidRDefault="00BE3F39" w:rsidP="00B7258D">
            <w:pPr>
              <w:jc w:val="center"/>
              <w:rPr>
                <w:rFonts w:ascii="Titillium Up" w:hAnsi="Titillium Up"/>
                <w:sz w:val="24"/>
                <w:szCs w:val="24"/>
              </w:rPr>
            </w:pPr>
            <w:r w:rsidRPr="0043213A">
              <w:rPr>
                <w:rFonts w:ascii="Titillium Up" w:hAnsi="Titillium Up"/>
                <w:sz w:val="24"/>
                <w:szCs w:val="24"/>
              </w:rPr>
              <w:t>Imposte 22,25%</w:t>
            </w:r>
          </w:p>
        </w:tc>
        <w:tc>
          <w:tcPr>
            <w:tcW w:w="1956" w:type="dxa"/>
          </w:tcPr>
          <w:p w14:paraId="3A5E1A10" w14:textId="77777777" w:rsidR="00BE3F39" w:rsidRPr="0043213A" w:rsidRDefault="00BE3F39" w:rsidP="00B7258D">
            <w:pPr>
              <w:jc w:val="center"/>
              <w:rPr>
                <w:rFonts w:ascii="Titillium Up" w:hAnsi="Titillium Up"/>
                <w:sz w:val="24"/>
                <w:szCs w:val="24"/>
              </w:rPr>
            </w:pPr>
            <w:r w:rsidRPr="0043213A">
              <w:rPr>
                <w:rFonts w:ascii="Titillium Up" w:hAnsi="Titillium Up"/>
                <w:sz w:val="24"/>
                <w:szCs w:val="24"/>
              </w:rPr>
              <w:t>TOTALE</w:t>
            </w:r>
          </w:p>
        </w:tc>
      </w:tr>
      <w:tr w:rsidR="00BE3F39" w:rsidRPr="0043213A" w14:paraId="300A7C55" w14:textId="77777777" w:rsidTr="00B7258D">
        <w:tc>
          <w:tcPr>
            <w:tcW w:w="1885" w:type="dxa"/>
          </w:tcPr>
          <w:p w14:paraId="64A2B669" w14:textId="77777777" w:rsidR="00BE3F39" w:rsidRPr="0043213A" w:rsidRDefault="00BE3F39" w:rsidP="00B7258D">
            <w:pPr>
              <w:jc w:val="center"/>
              <w:rPr>
                <w:rFonts w:ascii="Titillium Up" w:hAnsi="Titillium Up"/>
                <w:b/>
                <w:bCs/>
                <w:sz w:val="24"/>
                <w:szCs w:val="24"/>
              </w:rPr>
            </w:pPr>
            <w:r w:rsidRPr="0043213A">
              <w:rPr>
                <w:rFonts w:ascii="Titillium Up" w:hAnsi="Titillium Up"/>
                <w:b/>
                <w:bCs/>
                <w:sz w:val="24"/>
                <w:szCs w:val="24"/>
              </w:rPr>
              <w:t>4.089,98</w:t>
            </w:r>
          </w:p>
        </w:tc>
        <w:tc>
          <w:tcPr>
            <w:tcW w:w="1956" w:type="dxa"/>
          </w:tcPr>
          <w:p w14:paraId="513CBA6D" w14:textId="77777777" w:rsidR="00BE3F39" w:rsidRPr="0043213A" w:rsidRDefault="00BE3F39" w:rsidP="00B7258D">
            <w:pPr>
              <w:jc w:val="center"/>
              <w:rPr>
                <w:rFonts w:ascii="Titillium Up" w:hAnsi="Titillium Up"/>
                <w:b/>
                <w:bCs/>
                <w:sz w:val="24"/>
                <w:szCs w:val="24"/>
              </w:rPr>
            </w:pPr>
            <w:r w:rsidRPr="0043213A">
              <w:rPr>
                <w:rFonts w:ascii="Titillium Up" w:hAnsi="Titillium Up"/>
                <w:b/>
                <w:bCs/>
                <w:sz w:val="24"/>
                <w:szCs w:val="24"/>
              </w:rPr>
              <w:t>910,02</w:t>
            </w:r>
          </w:p>
        </w:tc>
        <w:tc>
          <w:tcPr>
            <w:tcW w:w="1956" w:type="dxa"/>
          </w:tcPr>
          <w:p w14:paraId="21C8D119" w14:textId="77777777" w:rsidR="00BE3F39" w:rsidRPr="0043213A" w:rsidRDefault="00BE3F39" w:rsidP="00B7258D">
            <w:pPr>
              <w:jc w:val="center"/>
              <w:rPr>
                <w:rFonts w:ascii="Titillium Up" w:hAnsi="Titillium Up"/>
                <w:b/>
                <w:bCs/>
                <w:sz w:val="24"/>
                <w:szCs w:val="24"/>
              </w:rPr>
            </w:pPr>
            <w:r w:rsidRPr="0043213A">
              <w:rPr>
                <w:rFonts w:ascii="Titillium Up" w:hAnsi="Titillium Up"/>
                <w:b/>
                <w:bCs/>
                <w:sz w:val="24"/>
                <w:szCs w:val="24"/>
              </w:rPr>
              <w:t>5.000,00</w:t>
            </w:r>
          </w:p>
        </w:tc>
      </w:tr>
    </w:tbl>
    <w:p w14:paraId="1D5090F6" w14:textId="5A2B9729" w:rsidR="00BA0550" w:rsidRPr="0043213A" w:rsidRDefault="00BE3F39" w:rsidP="00BA0550">
      <w:pPr>
        <w:rPr>
          <w:rFonts w:ascii="Titillium Up" w:hAnsi="Titillium Up"/>
          <w:sz w:val="24"/>
          <w:szCs w:val="24"/>
        </w:rPr>
      </w:pPr>
      <w:r w:rsidRPr="0043213A">
        <w:rPr>
          <w:rFonts w:ascii="Titillium Up" w:hAnsi="Titillium Up"/>
          <w:sz w:val="24"/>
          <w:szCs w:val="24"/>
        </w:rPr>
        <w:t>NB Il premio anticipato sarà dedotto dalla prima regolazione del premio al 31.01.202</w:t>
      </w:r>
      <w:r w:rsidR="00D53555">
        <w:rPr>
          <w:rFonts w:ascii="Titillium Up" w:hAnsi="Titillium Up"/>
          <w:sz w:val="24"/>
          <w:szCs w:val="24"/>
        </w:rPr>
        <w:t>2</w:t>
      </w:r>
      <w:r w:rsidRPr="0043213A">
        <w:rPr>
          <w:rFonts w:ascii="Titillium Up" w:hAnsi="Titillium Up"/>
          <w:sz w:val="24"/>
          <w:szCs w:val="24"/>
        </w:rPr>
        <w:t>.</w:t>
      </w:r>
    </w:p>
    <w:p w14:paraId="36D5FD2B" w14:textId="5552EA84" w:rsidR="00BA0550" w:rsidRDefault="00BA0550" w:rsidP="00BA0550">
      <w:pPr>
        <w:rPr>
          <w:rFonts w:ascii="Arial" w:hAnsi="Arial"/>
          <w:sz w:val="24"/>
          <w:szCs w:val="24"/>
        </w:rPr>
      </w:pPr>
    </w:p>
    <w:p w14:paraId="68FBB5FF" w14:textId="1B81F4FF" w:rsidR="00D53555" w:rsidRDefault="00D53555" w:rsidP="00BA0550">
      <w:pPr>
        <w:rPr>
          <w:rFonts w:ascii="Arial" w:hAnsi="Arial"/>
          <w:sz w:val="24"/>
          <w:szCs w:val="24"/>
        </w:rPr>
      </w:pPr>
    </w:p>
    <w:p w14:paraId="63A089B1" w14:textId="20CF27D7" w:rsidR="00D53555" w:rsidRDefault="00D53555" w:rsidP="00BA0550">
      <w:pPr>
        <w:rPr>
          <w:rFonts w:ascii="Arial" w:hAnsi="Arial"/>
          <w:sz w:val="24"/>
          <w:szCs w:val="24"/>
        </w:rPr>
      </w:pPr>
    </w:p>
    <w:p w14:paraId="46382318" w14:textId="72A72E33" w:rsidR="00D53555" w:rsidRDefault="00D53555" w:rsidP="00BA0550">
      <w:pPr>
        <w:rPr>
          <w:rFonts w:ascii="Arial" w:hAnsi="Arial"/>
          <w:sz w:val="24"/>
          <w:szCs w:val="24"/>
        </w:rPr>
      </w:pPr>
    </w:p>
    <w:p w14:paraId="12A45C9B" w14:textId="4681665F" w:rsidR="00D53555" w:rsidRDefault="00D53555" w:rsidP="00BA0550">
      <w:pPr>
        <w:rPr>
          <w:rFonts w:ascii="Arial" w:hAnsi="Arial"/>
          <w:sz w:val="24"/>
          <w:szCs w:val="24"/>
        </w:rPr>
      </w:pPr>
    </w:p>
    <w:p w14:paraId="6D412FF6" w14:textId="78D9EE52" w:rsidR="00D53555" w:rsidRDefault="00D53555" w:rsidP="00BA0550">
      <w:pPr>
        <w:rPr>
          <w:rFonts w:ascii="Arial" w:hAnsi="Arial"/>
          <w:sz w:val="24"/>
          <w:szCs w:val="24"/>
        </w:rPr>
      </w:pPr>
    </w:p>
    <w:p w14:paraId="5B98A6AA" w14:textId="0A3EB0BC" w:rsidR="00D53555" w:rsidRDefault="00D53555" w:rsidP="00BA0550">
      <w:pPr>
        <w:rPr>
          <w:rFonts w:ascii="Arial" w:hAnsi="Arial"/>
          <w:sz w:val="24"/>
          <w:szCs w:val="24"/>
        </w:rPr>
      </w:pPr>
    </w:p>
    <w:p w14:paraId="220EE222" w14:textId="3005F0EB" w:rsidR="00D53555" w:rsidRDefault="00D53555" w:rsidP="00BA0550">
      <w:pPr>
        <w:rPr>
          <w:rFonts w:ascii="Arial" w:hAnsi="Arial"/>
          <w:sz w:val="24"/>
          <w:szCs w:val="24"/>
        </w:rPr>
      </w:pPr>
    </w:p>
    <w:p w14:paraId="6EF8348B" w14:textId="4304BC25" w:rsidR="00D53555" w:rsidRDefault="00D53555" w:rsidP="00BA0550">
      <w:pPr>
        <w:rPr>
          <w:rFonts w:ascii="Arial" w:hAnsi="Arial"/>
          <w:sz w:val="24"/>
          <w:szCs w:val="24"/>
        </w:rPr>
      </w:pPr>
    </w:p>
    <w:p w14:paraId="27B2B6D4" w14:textId="77777777" w:rsidR="00D53555" w:rsidRPr="0043213A" w:rsidRDefault="00D53555" w:rsidP="00BA0550">
      <w:pPr>
        <w:rPr>
          <w:rFonts w:ascii="Arial" w:hAnsi="Arial"/>
          <w:sz w:val="24"/>
          <w:szCs w:val="24"/>
        </w:rPr>
      </w:pPr>
    </w:p>
    <w:p w14:paraId="4A5E1F41" w14:textId="77777777" w:rsidR="00F05BEF" w:rsidRPr="00EF250E" w:rsidRDefault="00F05BEF" w:rsidP="00F05BEF">
      <w:pPr>
        <w:widowControl w:val="0"/>
        <w:suppressAutoHyphens/>
        <w:autoSpaceDE w:val="0"/>
        <w:autoSpaceDN w:val="0"/>
        <w:adjustRightInd w:val="0"/>
        <w:textAlignment w:val="center"/>
        <w:rPr>
          <w:rFonts w:ascii="Titillium Up" w:hAnsi="Titillium Up" w:cs="Arial"/>
          <w:b/>
          <w:bCs/>
          <w:color w:val="0070C0"/>
          <w:sz w:val="30"/>
          <w:szCs w:val="24"/>
          <w:u w:val="single"/>
        </w:rPr>
      </w:pPr>
      <w:r w:rsidRPr="00EF250E">
        <w:rPr>
          <w:rFonts w:ascii="Titillium Up" w:hAnsi="Titillium Up" w:cs="Arial"/>
          <w:b/>
          <w:bCs/>
          <w:color w:val="0070C0"/>
          <w:sz w:val="30"/>
          <w:szCs w:val="24"/>
          <w:u w:val="single"/>
        </w:rPr>
        <w:lastRenderedPageBreak/>
        <w:t xml:space="preserve">INDICE                                                                                                                                       </w:t>
      </w:r>
    </w:p>
    <w:p w14:paraId="17E1E924" w14:textId="77777777" w:rsidR="00B7258D" w:rsidRPr="00373CAA" w:rsidRDefault="001E1576" w:rsidP="00373CAA">
      <w:pPr>
        <w:pStyle w:val="Sommario1"/>
      </w:pPr>
      <w:r w:rsidRPr="00373CAA">
        <w:t xml:space="preserve">1. </w:t>
      </w:r>
      <w:r w:rsidR="00B7258D" w:rsidRPr="00373CAA">
        <w:t>GLOSSARIO</w:t>
      </w:r>
      <w:r w:rsidR="00B7258D" w:rsidRPr="00373CAA">
        <w:tab/>
      </w:r>
      <w:r w:rsidR="00445E85">
        <w:t>5</w:t>
      </w:r>
    </w:p>
    <w:p w14:paraId="50B9CC77" w14:textId="77777777" w:rsidR="001E1576" w:rsidRDefault="001E1576" w:rsidP="001E1576"/>
    <w:p w14:paraId="02E5C887" w14:textId="77777777" w:rsidR="00B7258D" w:rsidRDefault="001E1576" w:rsidP="00373CAA">
      <w:pPr>
        <w:pStyle w:val="Sommario1"/>
      </w:pPr>
      <w:r>
        <w:t xml:space="preserve">2. </w:t>
      </w:r>
      <w:r w:rsidR="00B7258D">
        <w:t>RC AMMANCHI DI CASSA</w:t>
      </w:r>
      <w:r w:rsidR="00B7258D">
        <w:tab/>
      </w:r>
      <w:r w:rsidR="00445E85">
        <w:t>7</w:t>
      </w:r>
    </w:p>
    <w:p w14:paraId="444A879C" w14:textId="77777777" w:rsidR="00B7258D" w:rsidRDefault="001E1576" w:rsidP="00B7258D">
      <w:pPr>
        <w:pStyle w:val="Sommario2"/>
        <w:tabs>
          <w:tab w:val="right" w:leader="dot" w:pos="10489"/>
        </w:tabs>
        <w:ind w:left="216"/>
      </w:pPr>
      <w:r>
        <w:rPr>
          <w:rFonts w:ascii="Titillium Up" w:hAnsi="Titillium Up"/>
          <w:sz w:val="24"/>
          <w:szCs w:val="24"/>
        </w:rPr>
        <w:t xml:space="preserve">2.1 </w:t>
      </w:r>
      <w:r w:rsidRPr="000E420E">
        <w:rPr>
          <w:rFonts w:ascii="Titillium Up" w:hAnsi="Titillium Up"/>
          <w:sz w:val="24"/>
          <w:szCs w:val="24"/>
        </w:rPr>
        <w:t>Oggetto dell’assicurazione</w:t>
      </w:r>
      <w:r>
        <w:t xml:space="preserve"> </w:t>
      </w:r>
      <w:r w:rsidR="00B7258D">
        <w:tab/>
      </w:r>
      <w:r w:rsidR="00445E85">
        <w:t>7</w:t>
      </w:r>
    </w:p>
    <w:p w14:paraId="7A4137B9" w14:textId="77777777" w:rsidR="001E1576" w:rsidRPr="001E1576" w:rsidRDefault="001E1576" w:rsidP="001E1576">
      <w:pPr>
        <w:pStyle w:val="Sommario2"/>
        <w:tabs>
          <w:tab w:val="right" w:leader="dot" w:pos="10489"/>
        </w:tabs>
        <w:ind w:left="216"/>
      </w:pPr>
      <w:r>
        <w:rPr>
          <w:rFonts w:ascii="Titillium Up" w:hAnsi="Titillium Up"/>
          <w:sz w:val="24"/>
          <w:szCs w:val="24"/>
        </w:rPr>
        <w:t xml:space="preserve">2.2 </w:t>
      </w:r>
      <w:r w:rsidRPr="000E420E">
        <w:rPr>
          <w:rFonts w:ascii="Titillium Up" w:hAnsi="Titillium Up"/>
          <w:sz w:val="24"/>
          <w:szCs w:val="24"/>
        </w:rPr>
        <w:t>Esclusione dolo</w:t>
      </w:r>
      <w:r>
        <w:tab/>
      </w:r>
      <w:r w:rsidR="00445E85">
        <w:t>7</w:t>
      </w:r>
    </w:p>
    <w:p w14:paraId="3303B310" w14:textId="77777777" w:rsidR="001E1576" w:rsidRDefault="001E1576" w:rsidP="001E1576">
      <w:pPr>
        <w:pStyle w:val="Sommario2"/>
        <w:tabs>
          <w:tab w:val="right" w:leader="dot" w:pos="10489"/>
        </w:tabs>
        <w:ind w:left="216"/>
      </w:pPr>
      <w:r>
        <w:rPr>
          <w:rFonts w:ascii="Titillium Up" w:hAnsi="Titillium Up"/>
          <w:sz w:val="24"/>
          <w:szCs w:val="24"/>
        </w:rPr>
        <w:t>2.3 Altre esclusioni</w:t>
      </w:r>
      <w:r>
        <w:tab/>
      </w:r>
      <w:r w:rsidR="00445E85">
        <w:t>7</w:t>
      </w:r>
    </w:p>
    <w:p w14:paraId="2FF93438" w14:textId="77777777" w:rsidR="001E1576" w:rsidRDefault="001E1576" w:rsidP="001E1576">
      <w:pPr>
        <w:pStyle w:val="Sommario2"/>
        <w:tabs>
          <w:tab w:val="right" w:leader="dot" w:pos="10489"/>
        </w:tabs>
        <w:ind w:left="216"/>
      </w:pPr>
      <w:r>
        <w:rPr>
          <w:rFonts w:ascii="Titillium Up" w:hAnsi="Titillium Up"/>
          <w:sz w:val="24"/>
          <w:szCs w:val="24"/>
        </w:rPr>
        <w:t>2.4 Massimale</w:t>
      </w:r>
      <w:r>
        <w:t xml:space="preserve"> </w:t>
      </w:r>
      <w:r>
        <w:tab/>
      </w:r>
      <w:r w:rsidR="00445E85">
        <w:t>7</w:t>
      </w:r>
    </w:p>
    <w:p w14:paraId="06552628" w14:textId="77777777" w:rsidR="001E1576" w:rsidRDefault="001E1576" w:rsidP="001E1576">
      <w:pPr>
        <w:pStyle w:val="Sommario2"/>
        <w:tabs>
          <w:tab w:val="right" w:leader="dot" w:pos="10489"/>
        </w:tabs>
        <w:ind w:left="216"/>
      </w:pPr>
      <w:r>
        <w:rPr>
          <w:rFonts w:ascii="Titillium Up" w:hAnsi="Titillium Up"/>
          <w:sz w:val="24"/>
          <w:szCs w:val="24"/>
        </w:rPr>
        <w:t xml:space="preserve">2.5 </w:t>
      </w:r>
      <w:r w:rsidRPr="000E420E">
        <w:rPr>
          <w:rFonts w:ascii="Titillium Up" w:hAnsi="Titillium Up"/>
          <w:sz w:val="24"/>
          <w:szCs w:val="24"/>
        </w:rPr>
        <w:t>Validità della garanzia ed estensione territoriale</w:t>
      </w:r>
      <w:r>
        <w:tab/>
      </w:r>
      <w:r w:rsidR="00445E85">
        <w:t>8</w:t>
      </w:r>
    </w:p>
    <w:p w14:paraId="0BA58FE5" w14:textId="77777777" w:rsidR="001E1576" w:rsidRDefault="001E1576" w:rsidP="001E1576">
      <w:pPr>
        <w:pStyle w:val="Sommario2"/>
        <w:tabs>
          <w:tab w:val="right" w:leader="dot" w:pos="10489"/>
        </w:tabs>
        <w:ind w:left="216"/>
      </w:pPr>
      <w:r>
        <w:rPr>
          <w:rFonts w:ascii="Titillium Up" w:hAnsi="Titillium Up"/>
          <w:sz w:val="24"/>
          <w:szCs w:val="24"/>
        </w:rPr>
        <w:t xml:space="preserve">2.6 </w:t>
      </w:r>
      <w:r w:rsidRPr="000E420E">
        <w:rPr>
          <w:rFonts w:ascii="Titillium Up" w:hAnsi="Titillium Up"/>
          <w:sz w:val="24"/>
          <w:szCs w:val="24"/>
        </w:rPr>
        <w:t>Tutela e Spese Legali</w:t>
      </w:r>
      <w:r>
        <w:tab/>
      </w:r>
      <w:r w:rsidR="00445E85">
        <w:t>8</w:t>
      </w:r>
    </w:p>
    <w:p w14:paraId="698E02FB" w14:textId="77777777" w:rsidR="001E1576" w:rsidRDefault="001E1576" w:rsidP="001E1576">
      <w:pPr>
        <w:pStyle w:val="Sommario2"/>
        <w:tabs>
          <w:tab w:val="right" w:leader="dot" w:pos="10489"/>
        </w:tabs>
        <w:ind w:left="216"/>
      </w:pPr>
      <w:r>
        <w:rPr>
          <w:rFonts w:ascii="Titillium Up" w:hAnsi="Titillium Up"/>
          <w:sz w:val="24"/>
          <w:szCs w:val="24"/>
        </w:rPr>
        <w:t xml:space="preserve">2.7 </w:t>
      </w:r>
      <w:r w:rsidRPr="000E420E">
        <w:rPr>
          <w:rFonts w:ascii="Titillium Up" w:hAnsi="Titillium Up"/>
          <w:sz w:val="24"/>
          <w:szCs w:val="24"/>
        </w:rPr>
        <w:t>Obblighi dell’assicurato in caso di sinistro</w:t>
      </w:r>
      <w:r>
        <w:tab/>
      </w:r>
      <w:r w:rsidR="00445E85">
        <w:t>8</w:t>
      </w:r>
    </w:p>
    <w:p w14:paraId="08153945" w14:textId="77777777" w:rsidR="001E1576" w:rsidRDefault="001E1576" w:rsidP="001E1576"/>
    <w:p w14:paraId="3142B6A0" w14:textId="77777777" w:rsidR="001E1576" w:rsidRDefault="001E1576" w:rsidP="00373CAA">
      <w:pPr>
        <w:pStyle w:val="Sommario1"/>
      </w:pPr>
      <w:r>
        <w:t>3. RC PROFESSIONALE</w:t>
      </w:r>
      <w:r>
        <w:tab/>
      </w:r>
      <w:r w:rsidR="00445E85">
        <w:t>9</w:t>
      </w:r>
    </w:p>
    <w:p w14:paraId="6764F88E" w14:textId="77777777" w:rsidR="00147CCC" w:rsidRDefault="00147CCC" w:rsidP="00147CCC">
      <w:pPr>
        <w:pStyle w:val="Sommario2"/>
        <w:tabs>
          <w:tab w:val="right" w:leader="dot" w:pos="10489"/>
        </w:tabs>
        <w:ind w:left="216"/>
      </w:pPr>
      <w:r>
        <w:rPr>
          <w:rFonts w:ascii="Titillium Up" w:hAnsi="Titillium Up"/>
          <w:sz w:val="24"/>
          <w:szCs w:val="24"/>
        </w:rPr>
        <w:t xml:space="preserve">3.1 </w:t>
      </w:r>
      <w:r w:rsidRPr="000E420E">
        <w:rPr>
          <w:rFonts w:ascii="Titillium Up" w:hAnsi="Titillium Up"/>
          <w:sz w:val="24"/>
          <w:szCs w:val="24"/>
        </w:rPr>
        <w:t>Oggetto dell’assicurazione</w:t>
      </w:r>
      <w:r>
        <w:t xml:space="preserve"> </w:t>
      </w:r>
      <w:r>
        <w:tab/>
      </w:r>
      <w:r w:rsidR="00445E85">
        <w:t>9</w:t>
      </w:r>
    </w:p>
    <w:p w14:paraId="27A05706" w14:textId="77777777" w:rsidR="00147CCC" w:rsidRPr="001E1576" w:rsidRDefault="00147CCC" w:rsidP="00147CCC">
      <w:pPr>
        <w:pStyle w:val="Sommario2"/>
        <w:tabs>
          <w:tab w:val="right" w:leader="dot" w:pos="10489"/>
        </w:tabs>
        <w:ind w:left="216"/>
      </w:pPr>
      <w:r>
        <w:rPr>
          <w:rFonts w:ascii="Titillium Up" w:hAnsi="Titillium Up"/>
          <w:sz w:val="24"/>
          <w:szCs w:val="24"/>
        </w:rPr>
        <w:t xml:space="preserve">3.2 </w:t>
      </w:r>
      <w:r w:rsidRPr="000E420E">
        <w:rPr>
          <w:rFonts w:ascii="Titillium Up" w:hAnsi="Titillium Up"/>
          <w:sz w:val="24"/>
          <w:szCs w:val="24"/>
        </w:rPr>
        <w:t xml:space="preserve">Delimitazione dell’assicurazione </w:t>
      </w:r>
      <w:r>
        <w:rPr>
          <w:rFonts w:ascii="Titillium Up" w:hAnsi="Titillium Up"/>
          <w:sz w:val="24"/>
          <w:szCs w:val="24"/>
        </w:rPr>
        <w:t>–</w:t>
      </w:r>
      <w:r w:rsidRPr="000E420E">
        <w:rPr>
          <w:rFonts w:ascii="Titillium Up" w:hAnsi="Titillium Up"/>
          <w:sz w:val="24"/>
          <w:szCs w:val="24"/>
        </w:rPr>
        <w:t xml:space="preserve"> Esclusioni</w:t>
      </w:r>
      <w:r>
        <w:tab/>
      </w:r>
      <w:r w:rsidR="00445E85">
        <w:t>9</w:t>
      </w:r>
    </w:p>
    <w:p w14:paraId="4D37492F" w14:textId="77777777" w:rsidR="00147CCC" w:rsidRDefault="00147CCC" w:rsidP="00147CCC">
      <w:pPr>
        <w:pStyle w:val="Sommario2"/>
        <w:tabs>
          <w:tab w:val="right" w:leader="dot" w:pos="10489"/>
        </w:tabs>
        <w:ind w:left="216"/>
      </w:pPr>
      <w:r>
        <w:rPr>
          <w:rFonts w:ascii="Titillium Up" w:hAnsi="Titillium Up"/>
          <w:sz w:val="24"/>
          <w:szCs w:val="24"/>
        </w:rPr>
        <w:t xml:space="preserve">3.3 </w:t>
      </w:r>
      <w:r w:rsidRPr="000E420E">
        <w:rPr>
          <w:rFonts w:ascii="Titillium Up" w:hAnsi="Titillium Up"/>
          <w:sz w:val="24"/>
          <w:szCs w:val="24"/>
        </w:rPr>
        <w:t>Spese legali</w:t>
      </w:r>
      <w:r>
        <w:tab/>
      </w:r>
      <w:r w:rsidR="00445E85">
        <w:t>10</w:t>
      </w:r>
    </w:p>
    <w:p w14:paraId="5CFF7F44" w14:textId="77777777" w:rsidR="00147CCC" w:rsidRDefault="00147CCC" w:rsidP="00147CCC">
      <w:pPr>
        <w:pStyle w:val="Sommario2"/>
        <w:tabs>
          <w:tab w:val="right" w:leader="dot" w:pos="10489"/>
        </w:tabs>
        <w:ind w:left="216"/>
      </w:pPr>
      <w:r>
        <w:rPr>
          <w:rFonts w:ascii="Titillium Up" w:hAnsi="Titillium Up"/>
          <w:sz w:val="24"/>
          <w:szCs w:val="24"/>
        </w:rPr>
        <w:t xml:space="preserve">3.4 </w:t>
      </w:r>
      <w:r w:rsidRPr="000E420E">
        <w:rPr>
          <w:rFonts w:ascii="Titillium Up" w:hAnsi="Titillium Up"/>
          <w:sz w:val="24"/>
          <w:szCs w:val="24"/>
        </w:rPr>
        <w:t>Estensione Territoriale</w:t>
      </w:r>
      <w:r>
        <w:rPr>
          <w:rFonts w:ascii="Titillium Up" w:hAnsi="Titillium Up"/>
          <w:sz w:val="24"/>
          <w:szCs w:val="24"/>
        </w:rPr>
        <w:t xml:space="preserve"> .</w:t>
      </w:r>
      <w:r>
        <w:tab/>
      </w:r>
      <w:r w:rsidR="00445E85">
        <w:t>10</w:t>
      </w:r>
    </w:p>
    <w:p w14:paraId="50C242D2" w14:textId="77777777" w:rsidR="00147CCC" w:rsidRDefault="00147CCC" w:rsidP="00147CCC">
      <w:pPr>
        <w:pStyle w:val="Sommario2"/>
        <w:tabs>
          <w:tab w:val="right" w:leader="dot" w:pos="10489"/>
        </w:tabs>
        <w:ind w:left="216"/>
      </w:pPr>
      <w:r>
        <w:rPr>
          <w:rFonts w:ascii="Titillium Up" w:hAnsi="Titillium Up"/>
          <w:sz w:val="24"/>
          <w:szCs w:val="24"/>
        </w:rPr>
        <w:t xml:space="preserve">3.5 </w:t>
      </w:r>
      <w:r w:rsidRPr="000E420E">
        <w:rPr>
          <w:rFonts w:ascii="Titillium Up" w:hAnsi="Titillium Up"/>
          <w:sz w:val="24"/>
          <w:szCs w:val="24"/>
        </w:rPr>
        <w:t>Validità della Garanzia</w:t>
      </w:r>
      <w:r>
        <w:tab/>
      </w:r>
      <w:r w:rsidR="00445E85">
        <w:t>10</w:t>
      </w:r>
    </w:p>
    <w:p w14:paraId="478A5A70" w14:textId="77777777" w:rsidR="00147CCC" w:rsidRDefault="00147CCC" w:rsidP="00147CCC">
      <w:pPr>
        <w:pStyle w:val="Sommario2"/>
        <w:tabs>
          <w:tab w:val="right" w:leader="dot" w:pos="10489"/>
        </w:tabs>
        <w:ind w:left="216"/>
      </w:pPr>
      <w:r>
        <w:rPr>
          <w:rFonts w:ascii="Titillium Up" w:hAnsi="Titillium Up"/>
          <w:sz w:val="24"/>
          <w:szCs w:val="24"/>
        </w:rPr>
        <w:t xml:space="preserve">3.6 </w:t>
      </w:r>
      <w:r w:rsidRPr="000E420E">
        <w:rPr>
          <w:rFonts w:ascii="Titillium Up" w:hAnsi="Titillium Up"/>
          <w:sz w:val="24"/>
          <w:szCs w:val="24"/>
        </w:rPr>
        <w:t>Obblighi dell’assicurato in caso di sinistro</w:t>
      </w:r>
      <w:r>
        <w:tab/>
      </w:r>
      <w:r w:rsidR="00445E85">
        <w:t>10</w:t>
      </w:r>
    </w:p>
    <w:p w14:paraId="21BC66F6" w14:textId="77777777" w:rsidR="00147CCC" w:rsidRDefault="00147CCC" w:rsidP="00373CAA">
      <w:pPr>
        <w:pStyle w:val="Sommario1"/>
      </w:pPr>
    </w:p>
    <w:p w14:paraId="53C6B0E6" w14:textId="77777777" w:rsidR="00147CCC" w:rsidRDefault="00147CCC" w:rsidP="00373CAA">
      <w:pPr>
        <w:pStyle w:val="Sommario1"/>
      </w:pPr>
      <w:r>
        <w:t>4. RC FAMIGLIA</w:t>
      </w:r>
      <w:r>
        <w:tab/>
      </w:r>
      <w:r w:rsidR="00445E85">
        <w:t>11</w:t>
      </w:r>
    </w:p>
    <w:p w14:paraId="087D56FA" w14:textId="77777777" w:rsidR="00147CCC" w:rsidRDefault="00722E4D" w:rsidP="00147CCC">
      <w:pPr>
        <w:pStyle w:val="Sommario2"/>
        <w:tabs>
          <w:tab w:val="right" w:leader="dot" w:pos="10489"/>
        </w:tabs>
        <w:ind w:left="216"/>
      </w:pPr>
      <w:r>
        <w:rPr>
          <w:rFonts w:ascii="Titillium Up" w:hAnsi="Titillium Up"/>
          <w:sz w:val="24"/>
          <w:szCs w:val="24"/>
        </w:rPr>
        <w:t>4</w:t>
      </w:r>
      <w:r w:rsidR="00147CCC">
        <w:rPr>
          <w:rFonts w:ascii="Titillium Up" w:hAnsi="Titillium Up"/>
          <w:sz w:val="24"/>
          <w:szCs w:val="24"/>
        </w:rPr>
        <w:t xml:space="preserve">.1 </w:t>
      </w:r>
      <w:r w:rsidR="00147CCC" w:rsidRPr="000E420E">
        <w:rPr>
          <w:rFonts w:ascii="Titillium Up" w:hAnsi="Titillium Up"/>
          <w:sz w:val="24"/>
          <w:szCs w:val="24"/>
        </w:rPr>
        <w:t>Oggetto dell’assicurazione</w:t>
      </w:r>
      <w:r w:rsidR="00147CCC">
        <w:t xml:space="preserve"> </w:t>
      </w:r>
      <w:r w:rsidR="00147CCC">
        <w:tab/>
      </w:r>
      <w:r w:rsidR="00445E85">
        <w:t>11</w:t>
      </w:r>
    </w:p>
    <w:p w14:paraId="4B7E6C1E" w14:textId="77777777" w:rsidR="00147CCC" w:rsidRPr="001E1576" w:rsidRDefault="00722E4D" w:rsidP="00147CCC">
      <w:pPr>
        <w:pStyle w:val="Sommario2"/>
        <w:tabs>
          <w:tab w:val="right" w:leader="dot" w:pos="10489"/>
        </w:tabs>
        <w:ind w:left="216"/>
      </w:pPr>
      <w:r>
        <w:rPr>
          <w:rFonts w:ascii="Titillium Up" w:hAnsi="Titillium Up"/>
          <w:sz w:val="24"/>
          <w:szCs w:val="24"/>
        </w:rPr>
        <w:t>4</w:t>
      </w:r>
      <w:r w:rsidR="00147CCC">
        <w:rPr>
          <w:rFonts w:ascii="Titillium Up" w:hAnsi="Titillium Up"/>
          <w:sz w:val="24"/>
          <w:szCs w:val="24"/>
        </w:rPr>
        <w:t xml:space="preserve">.2 </w:t>
      </w:r>
      <w:r w:rsidR="00147CCC" w:rsidRPr="000E420E">
        <w:rPr>
          <w:rFonts w:ascii="Titillium Up" w:hAnsi="Titillium Up"/>
          <w:sz w:val="24"/>
          <w:szCs w:val="24"/>
        </w:rPr>
        <w:t>Massimale</w:t>
      </w:r>
      <w:r w:rsidR="00147CCC">
        <w:tab/>
      </w:r>
      <w:r w:rsidR="00445E85">
        <w:t>11</w:t>
      </w:r>
    </w:p>
    <w:p w14:paraId="4C0696AF" w14:textId="77777777" w:rsidR="00147CCC" w:rsidRDefault="00722E4D" w:rsidP="00147CCC">
      <w:pPr>
        <w:pStyle w:val="Sommario2"/>
        <w:tabs>
          <w:tab w:val="right" w:leader="dot" w:pos="10489"/>
        </w:tabs>
        <w:ind w:left="216"/>
      </w:pPr>
      <w:r>
        <w:rPr>
          <w:rFonts w:ascii="Titillium Up" w:hAnsi="Titillium Up"/>
          <w:sz w:val="24"/>
          <w:szCs w:val="24"/>
        </w:rPr>
        <w:t>4</w:t>
      </w:r>
      <w:r w:rsidR="00147CCC">
        <w:rPr>
          <w:rFonts w:ascii="Titillium Up" w:hAnsi="Titillium Up"/>
          <w:sz w:val="24"/>
          <w:szCs w:val="24"/>
        </w:rPr>
        <w:t xml:space="preserve">.3 </w:t>
      </w:r>
      <w:r w:rsidR="00147CCC" w:rsidRPr="000E420E">
        <w:rPr>
          <w:rFonts w:ascii="Titillium Up" w:hAnsi="Titillium Up"/>
          <w:sz w:val="24"/>
          <w:szCs w:val="24"/>
        </w:rPr>
        <w:t>Delimitazioni</w:t>
      </w:r>
      <w:r w:rsidR="00147CCC">
        <w:tab/>
      </w:r>
      <w:r w:rsidR="00445E85">
        <w:t>12</w:t>
      </w:r>
    </w:p>
    <w:p w14:paraId="33CFA4F8" w14:textId="77777777" w:rsidR="00147CCC" w:rsidRDefault="00722E4D" w:rsidP="00147CCC">
      <w:pPr>
        <w:pStyle w:val="Sommario2"/>
        <w:tabs>
          <w:tab w:val="right" w:leader="dot" w:pos="10489"/>
        </w:tabs>
        <w:ind w:left="216"/>
      </w:pPr>
      <w:r>
        <w:rPr>
          <w:rFonts w:ascii="Titillium Up" w:hAnsi="Titillium Up"/>
          <w:sz w:val="24"/>
          <w:szCs w:val="24"/>
        </w:rPr>
        <w:t>4</w:t>
      </w:r>
      <w:r w:rsidR="00147CCC">
        <w:rPr>
          <w:rFonts w:ascii="Titillium Up" w:hAnsi="Titillium Up"/>
          <w:sz w:val="24"/>
          <w:szCs w:val="24"/>
        </w:rPr>
        <w:t xml:space="preserve">.4 </w:t>
      </w:r>
      <w:r w:rsidR="00147CCC" w:rsidRPr="000E420E">
        <w:rPr>
          <w:rFonts w:ascii="Titillium Up" w:hAnsi="Titillium Up"/>
          <w:sz w:val="24"/>
          <w:szCs w:val="24"/>
        </w:rPr>
        <w:t>Esclusioni</w:t>
      </w:r>
      <w:r w:rsidR="00147CCC">
        <w:rPr>
          <w:rFonts w:ascii="Titillium Up" w:hAnsi="Titillium Up"/>
          <w:sz w:val="24"/>
          <w:szCs w:val="24"/>
        </w:rPr>
        <w:t>.</w:t>
      </w:r>
      <w:r w:rsidR="00147CCC">
        <w:tab/>
      </w:r>
      <w:r w:rsidR="00445E85">
        <w:t>12</w:t>
      </w:r>
    </w:p>
    <w:p w14:paraId="3FF89F6D" w14:textId="77777777" w:rsidR="00147CCC" w:rsidRDefault="00722E4D" w:rsidP="00147CCC">
      <w:pPr>
        <w:pStyle w:val="Sommario2"/>
        <w:tabs>
          <w:tab w:val="right" w:leader="dot" w:pos="10489"/>
        </w:tabs>
        <w:ind w:left="216"/>
      </w:pPr>
      <w:r>
        <w:rPr>
          <w:rFonts w:ascii="Titillium Up" w:hAnsi="Titillium Up"/>
          <w:sz w:val="24"/>
          <w:szCs w:val="24"/>
        </w:rPr>
        <w:t>4</w:t>
      </w:r>
      <w:r w:rsidR="00147CCC">
        <w:rPr>
          <w:rFonts w:ascii="Titillium Up" w:hAnsi="Titillium Up"/>
          <w:sz w:val="24"/>
          <w:szCs w:val="24"/>
        </w:rPr>
        <w:t xml:space="preserve">.5 </w:t>
      </w:r>
      <w:r w:rsidR="00147CCC" w:rsidRPr="000E420E">
        <w:rPr>
          <w:rFonts w:ascii="Titillium Up" w:hAnsi="Titillium Up"/>
          <w:sz w:val="24"/>
          <w:szCs w:val="24"/>
        </w:rPr>
        <w:t>Validità della garanzia ed estensione territoriale</w:t>
      </w:r>
      <w:r w:rsidR="00147CCC">
        <w:tab/>
      </w:r>
      <w:r w:rsidR="00445E85">
        <w:t>12</w:t>
      </w:r>
    </w:p>
    <w:p w14:paraId="4008F090" w14:textId="77777777" w:rsidR="00147CCC" w:rsidRDefault="00722E4D" w:rsidP="00147CCC">
      <w:pPr>
        <w:pStyle w:val="Sommario2"/>
        <w:tabs>
          <w:tab w:val="right" w:leader="dot" w:pos="10489"/>
        </w:tabs>
        <w:ind w:left="216"/>
      </w:pPr>
      <w:r>
        <w:rPr>
          <w:rFonts w:ascii="Titillium Up" w:hAnsi="Titillium Up"/>
          <w:sz w:val="24"/>
          <w:szCs w:val="24"/>
        </w:rPr>
        <w:t>4</w:t>
      </w:r>
      <w:r w:rsidR="00147CCC">
        <w:rPr>
          <w:rFonts w:ascii="Titillium Up" w:hAnsi="Titillium Up"/>
          <w:sz w:val="24"/>
          <w:szCs w:val="24"/>
        </w:rPr>
        <w:t xml:space="preserve">.6 </w:t>
      </w:r>
      <w:r w:rsidR="00147CCC" w:rsidRPr="000E420E">
        <w:rPr>
          <w:rFonts w:ascii="Titillium Up" w:hAnsi="Titillium Up"/>
          <w:sz w:val="24"/>
          <w:szCs w:val="24"/>
        </w:rPr>
        <w:t>Tutela e Spese Legali</w:t>
      </w:r>
      <w:r w:rsidR="00147CCC">
        <w:tab/>
      </w:r>
      <w:r w:rsidR="00445E85">
        <w:t>12</w:t>
      </w:r>
    </w:p>
    <w:p w14:paraId="3201A798" w14:textId="77777777" w:rsidR="00147CCC" w:rsidRDefault="00722E4D" w:rsidP="00147CCC">
      <w:pPr>
        <w:pStyle w:val="Sommario2"/>
        <w:tabs>
          <w:tab w:val="right" w:leader="dot" w:pos="10489"/>
        </w:tabs>
        <w:ind w:left="216"/>
      </w:pPr>
      <w:r>
        <w:rPr>
          <w:rFonts w:ascii="Titillium Up" w:hAnsi="Titillium Up"/>
          <w:sz w:val="24"/>
          <w:szCs w:val="24"/>
        </w:rPr>
        <w:t>4</w:t>
      </w:r>
      <w:r w:rsidR="00147CCC">
        <w:rPr>
          <w:rFonts w:ascii="Titillium Up" w:hAnsi="Titillium Up"/>
          <w:sz w:val="24"/>
          <w:szCs w:val="24"/>
        </w:rPr>
        <w:t xml:space="preserve">.7 </w:t>
      </w:r>
      <w:r w:rsidR="00147CCC" w:rsidRPr="000E420E">
        <w:rPr>
          <w:rFonts w:ascii="Titillium Up" w:hAnsi="Titillium Up"/>
          <w:sz w:val="24"/>
          <w:szCs w:val="24"/>
        </w:rPr>
        <w:t>Obblighi dell’assicurato in caso di sinistro</w:t>
      </w:r>
      <w:r w:rsidR="00147CCC">
        <w:tab/>
      </w:r>
      <w:r w:rsidR="00445E85">
        <w:t>12</w:t>
      </w:r>
    </w:p>
    <w:p w14:paraId="04873F8C" w14:textId="77777777" w:rsidR="004E04C6" w:rsidRDefault="004E04C6" w:rsidP="00373CAA">
      <w:pPr>
        <w:pStyle w:val="Sommario1"/>
      </w:pPr>
    </w:p>
    <w:p w14:paraId="539DA2B8" w14:textId="77777777" w:rsidR="004E04C6" w:rsidRDefault="004E04C6" w:rsidP="00373CAA">
      <w:pPr>
        <w:pStyle w:val="Sommario1"/>
      </w:pPr>
      <w:r>
        <w:t>5. CONDIZIONI GENERALI DEL CONTRATTO</w:t>
      </w:r>
      <w:r>
        <w:tab/>
      </w:r>
      <w:r w:rsidR="00445E85">
        <w:t>13</w:t>
      </w:r>
    </w:p>
    <w:p w14:paraId="617843E9" w14:textId="77777777" w:rsidR="00722E4D" w:rsidRDefault="00722E4D" w:rsidP="00722E4D">
      <w:pPr>
        <w:pStyle w:val="Sommario2"/>
        <w:tabs>
          <w:tab w:val="right" w:leader="dot" w:pos="10489"/>
        </w:tabs>
        <w:ind w:left="216"/>
      </w:pPr>
      <w:r>
        <w:rPr>
          <w:rFonts w:ascii="Titillium Up" w:hAnsi="Titillium Up"/>
          <w:sz w:val="24"/>
          <w:szCs w:val="24"/>
        </w:rPr>
        <w:t xml:space="preserve">5.1 </w:t>
      </w:r>
      <w:r w:rsidRPr="000E420E">
        <w:rPr>
          <w:rFonts w:ascii="Titillium Up" w:hAnsi="Titillium Up"/>
          <w:sz w:val="24"/>
          <w:szCs w:val="24"/>
        </w:rPr>
        <w:t>Dichiarazioni relative alle circostanze del rischio - Buona fede</w:t>
      </w:r>
      <w:r>
        <w:tab/>
      </w:r>
      <w:r w:rsidR="00445E85">
        <w:t>13</w:t>
      </w:r>
    </w:p>
    <w:p w14:paraId="5DD21E08" w14:textId="77777777" w:rsidR="00722E4D" w:rsidRPr="001E1576" w:rsidRDefault="00722E4D" w:rsidP="00722E4D">
      <w:pPr>
        <w:pStyle w:val="Sommario2"/>
        <w:tabs>
          <w:tab w:val="right" w:leader="dot" w:pos="10489"/>
        </w:tabs>
        <w:ind w:left="216"/>
      </w:pPr>
      <w:r>
        <w:rPr>
          <w:rFonts w:ascii="Titillium Up" w:hAnsi="Titillium Up"/>
          <w:sz w:val="24"/>
          <w:szCs w:val="24"/>
        </w:rPr>
        <w:t xml:space="preserve">5.2 </w:t>
      </w:r>
      <w:r w:rsidRPr="000E420E">
        <w:rPr>
          <w:rFonts w:ascii="Titillium Up" w:hAnsi="Titillium Up"/>
          <w:sz w:val="24"/>
          <w:szCs w:val="24"/>
        </w:rPr>
        <w:t>Altre assicurazioni</w:t>
      </w:r>
      <w:r>
        <w:tab/>
      </w:r>
      <w:r w:rsidR="00445E85">
        <w:t>13</w:t>
      </w:r>
    </w:p>
    <w:p w14:paraId="60D6F152" w14:textId="77777777" w:rsidR="00722E4D" w:rsidRDefault="00722E4D" w:rsidP="00722E4D">
      <w:pPr>
        <w:pStyle w:val="Sommario2"/>
        <w:tabs>
          <w:tab w:val="right" w:leader="dot" w:pos="10489"/>
        </w:tabs>
        <w:ind w:left="216"/>
      </w:pPr>
      <w:r>
        <w:rPr>
          <w:rFonts w:ascii="Titillium Up" w:hAnsi="Titillium Up"/>
          <w:sz w:val="24"/>
          <w:szCs w:val="24"/>
        </w:rPr>
        <w:t xml:space="preserve">5.3 </w:t>
      </w:r>
      <w:r w:rsidRPr="000E420E">
        <w:rPr>
          <w:rFonts w:ascii="Titillium Up" w:hAnsi="Titillium Up"/>
          <w:sz w:val="24"/>
          <w:szCs w:val="24"/>
        </w:rPr>
        <w:t>Decorrenza dell'assicurazione - Pagamento del premio</w:t>
      </w:r>
      <w:r>
        <w:tab/>
      </w:r>
      <w:r w:rsidR="00445E85">
        <w:t>13</w:t>
      </w:r>
    </w:p>
    <w:p w14:paraId="30F4BD84" w14:textId="77777777" w:rsidR="00722E4D" w:rsidRDefault="00722E4D" w:rsidP="00722E4D">
      <w:pPr>
        <w:pStyle w:val="Sommario2"/>
        <w:tabs>
          <w:tab w:val="right" w:leader="dot" w:pos="10489"/>
        </w:tabs>
        <w:ind w:left="216"/>
      </w:pPr>
      <w:r>
        <w:rPr>
          <w:rFonts w:ascii="Titillium Up" w:hAnsi="Titillium Up"/>
          <w:sz w:val="24"/>
          <w:szCs w:val="24"/>
        </w:rPr>
        <w:t xml:space="preserve">5.4 </w:t>
      </w:r>
      <w:r w:rsidRPr="000E420E">
        <w:rPr>
          <w:rFonts w:ascii="Titillium Up" w:hAnsi="Titillium Up"/>
          <w:sz w:val="24"/>
          <w:szCs w:val="24"/>
        </w:rPr>
        <w:t>Variazioni del rischio</w:t>
      </w:r>
      <w:r>
        <w:tab/>
      </w:r>
      <w:r w:rsidR="00445E85">
        <w:t>13</w:t>
      </w:r>
    </w:p>
    <w:p w14:paraId="38174BEB" w14:textId="77777777" w:rsidR="00722E4D" w:rsidRDefault="00722E4D" w:rsidP="00722E4D">
      <w:pPr>
        <w:pStyle w:val="Sommario2"/>
        <w:tabs>
          <w:tab w:val="right" w:leader="dot" w:pos="10489"/>
        </w:tabs>
        <w:ind w:left="216"/>
      </w:pPr>
      <w:r>
        <w:rPr>
          <w:rFonts w:ascii="Titillium Up" w:hAnsi="Titillium Up"/>
          <w:sz w:val="24"/>
          <w:szCs w:val="24"/>
        </w:rPr>
        <w:t xml:space="preserve">5.5 </w:t>
      </w:r>
      <w:r w:rsidRPr="000E420E">
        <w:rPr>
          <w:rFonts w:ascii="Titillium Up" w:hAnsi="Titillium Up"/>
          <w:sz w:val="24"/>
          <w:szCs w:val="24"/>
        </w:rPr>
        <w:t>Durata dell'assicurazione</w:t>
      </w:r>
      <w:r>
        <w:rPr>
          <w:rFonts w:ascii="Titillium Up" w:hAnsi="Titillium Up"/>
          <w:sz w:val="24"/>
          <w:szCs w:val="24"/>
        </w:rPr>
        <w:t xml:space="preserve"> </w:t>
      </w:r>
      <w:r>
        <w:tab/>
      </w:r>
      <w:r w:rsidR="00445E85">
        <w:t>13</w:t>
      </w:r>
    </w:p>
    <w:p w14:paraId="70C83D7A" w14:textId="77777777" w:rsidR="00722E4D" w:rsidRDefault="00722E4D" w:rsidP="00722E4D">
      <w:pPr>
        <w:pStyle w:val="Sommario2"/>
        <w:tabs>
          <w:tab w:val="right" w:leader="dot" w:pos="10489"/>
        </w:tabs>
        <w:ind w:left="216"/>
      </w:pPr>
      <w:r>
        <w:rPr>
          <w:rFonts w:ascii="Titillium Up" w:hAnsi="Titillium Up"/>
          <w:sz w:val="24"/>
          <w:szCs w:val="24"/>
        </w:rPr>
        <w:t xml:space="preserve">5.6 </w:t>
      </w:r>
      <w:r w:rsidRPr="000E420E">
        <w:rPr>
          <w:rFonts w:ascii="Titillium Up" w:hAnsi="Titillium Up"/>
          <w:sz w:val="24"/>
          <w:szCs w:val="24"/>
        </w:rPr>
        <w:t>Oneri fiscali</w:t>
      </w:r>
      <w:r>
        <w:tab/>
      </w:r>
      <w:r w:rsidR="00445E85">
        <w:t>13</w:t>
      </w:r>
    </w:p>
    <w:p w14:paraId="4CEB599F" w14:textId="77777777" w:rsidR="00722E4D" w:rsidRDefault="00722E4D" w:rsidP="00722E4D">
      <w:pPr>
        <w:pStyle w:val="Sommario2"/>
        <w:tabs>
          <w:tab w:val="right" w:leader="dot" w:pos="10489"/>
        </w:tabs>
        <w:ind w:left="216"/>
      </w:pPr>
      <w:r>
        <w:rPr>
          <w:rFonts w:ascii="Titillium Up" w:hAnsi="Titillium Up"/>
          <w:sz w:val="24"/>
          <w:szCs w:val="24"/>
        </w:rPr>
        <w:t xml:space="preserve">5.7 </w:t>
      </w:r>
      <w:r w:rsidRPr="000E420E">
        <w:rPr>
          <w:rFonts w:ascii="Titillium Up" w:hAnsi="Titillium Up"/>
          <w:sz w:val="24"/>
          <w:szCs w:val="24"/>
        </w:rPr>
        <w:t>Modifiche dell'assicurazione</w:t>
      </w:r>
      <w:r>
        <w:tab/>
      </w:r>
      <w:r w:rsidR="00445E85">
        <w:t>13</w:t>
      </w:r>
    </w:p>
    <w:p w14:paraId="7BD9FC9A" w14:textId="77777777" w:rsidR="00722E4D" w:rsidRDefault="00722E4D" w:rsidP="00722E4D">
      <w:pPr>
        <w:pStyle w:val="Sommario2"/>
        <w:tabs>
          <w:tab w:val="right" w:leader="dot" w:pos="10489"/>
        </w:tabs>
        <w:ind w:left="216"/>
      </w:pPr>
      <w:r>
        <w:rPr>
          <w:rFonts w:ascii="Titillium Up" w:hAnsi="Titillium Up"/>
          <w:sz w:val="24"/>
          <w:szCs w:val="24"/>
        </w:rPr>
        <w:t xml:space="preserve">5.8 </w:t>
      </w:r>
      <w:r w:rsidRPr="000E420E">
        <w:rPr>
          <w:rFonts w:ascii="Titillium Up" w:hAnsi="Titillium Up"/>
          <w:sz w:val="24"/>
          <w:szCs w:val="24"/>
        </w:rPr>
        <w:t>Clausola Broker</w:t>
      </w:r>
      <w:r>
        <w:tab/>
      </w:r>
      <w:r w:rsidR="00445E85">
        <w:t>13</w:t>
      </w:r>
    </w:p>
    <w:p w14:paraId="74BCA9F6" w14:textId="77777777" w:rsidR="00722E4D" w:rsidRPr="001E1576" w:rsidRDefault="00722E4D" w:rsidP="00722E4D">
      <w:pPr>
        <w:pStyle w:val="Sommario2"/>
        <w:tabs>
          <w:tab w:val="right" w:leader="dot" w:pos="10489"/>
        </w:tabs>
        <w:ind w:left="216"/>
      </w:pPr>
      <w:r>
        <w:rPr>
          <w:rFonts w:ascii="Titillium Up" w:hAnsi="Titillium Up"/>
          <w:sz w:val="24"/>
          <w:szCs w:val="24"/>
        </w:rPr>
        <w:t xml:space="preserve">5.9 </w:t>
      </w:r>
      <w:r w:rsidRPr="000E420E">
        <w:rPr>
          <w:rFonts w:ascii="Titillium Up" w:hAnsi="Titillium Up"/>
          <w:sz w:val="24"/>
          <w:szCs w:val="24"/>
        </w:rPr>
        <w:t>Premi lordi e massimali</w:t>
      </w:r>
      <w:r>
        <w:tab/>
      </w:r>
      <w:r w:rsidR="00445E85">
        <w:t>14</w:t>
      </w:r>
    </w:p>
    <w:p w14:paraId="04D132B0" w14:textId="77777777" w:rsidR="00722E4D" w:rsidRDefault="00722E4D" w:rsidP="00722E4D">
      <w:pPr>
        <w:pStyle w:val="Sommario2"/>
        <w:tabs>
          <w:tab w:val="right" w:leader="dot" w:pos="10489"/>
        </w:tabs>
        <w:ind w:left="216"/>
      </w:pPr>
      <w:r>
        <w:rPr>
          <w:rFonts w:ascii="Titillium Up" w:hAnsi="Titillium Up"/>
          <w:sz w:val="24"/>
          <w:szCs w:val="24"/>
        </w:rPr>
        <w:t xml:space="preserve">5.10 </w:t>
      </w:r>
      <w:r w:rsidRPr="000E420E">
        <w:rPr>
          <w:rFonts w:ascii="Titillium Up" w:hAnsi="Titillium Up"/>
          <w:sz w:val="24"/>
          <w:szCs w:val="24"/>
        </w:rPr>
        <w:t>Modalità di adesione e decorrenza delle Garanzie</w:t>
      </w:r>
      <w:r>
        <w:tab/>
      </w:r>
      <w:r w:rsidR="00445E85">
        <w:t>15</w:t>
      </w:r>
    </w:p>
    <w:p w14:paraId="68924833" w14:textId="77777777" w:rsidR="00722E4D" w:rsidRDefault="00722E4D" w:rsidP="00722E4D">
      <w:pPr>
        <w:pStyle w:val="Sommario2"/>
        <w:tabs>
          <w:tab w:val="right" w:leader="dot" w:pos="10489"/>
        </w:tabs>
        <w:ind w:left="216"/>
      </w:pPr>
      <w:r>
        <w:rPr>
          <w:rFonts w:ascii="Titillium Up" w:hAnsi="Titillium Up"/>
          <w:sz w:val="24"/>
          <w:szCs w:val="24"/>
        </w:rPr>
        <w:t xml:space="preserve">5.11 </w:t>
      </w:r>
      <w:r w:rsidRPr="000E420E">
        <w:rPr>
          <w:rFonts w:ascii="Titillium Up" w:hAnsi="Titillium Up"/>
          <w:sz w:val="24"/>
          <w:szCs w:val="24"/>
        </w:rPr>
        <w:t>Rinvio alle norme di legge</w:t>
      </w:r>
      <w:r>
        <w:tab/>
      </w:r>
      <w:r w:rsidR="00445E85">
        <w:t>15</w:t>
      </w:r>
    </w:p>
    <w:p w14:paraId="4EE8CA8E" w14:textId="77777777" w:rsidR="00722E4D" w:rsidRDefault="00722E4D" w:rsidP="00722E4D">
      <w:pPr>
        <w:pStyle w:val="Sommario2"/>
        <w:tabs>
          <w:tab w:val="right" w:leader="dot" w:pos="10489"/>
        </w:tabs>
        <w:ind w:left="216"/>
      </w:pPr>
      <w:r>
        <w:rPr>
          <w:rFonts w:ascii="Titillium Up" w:hAnsi="Titillium Up"/>
          <w:sz w:val="24"/>
          <w:szCs w:val="24"/>
        </w:rPr>
        <w:t xml:space="preserve">5.12 </w:t>
      </w:r>
      <w:r w:rsidRPr="000E420E">
        <w:rPr>
          <w:rFonts w:ascii="Titillium Up" w:hAnsi="Titillium Up"/>
          <w:sz w:val="24"/>
          <w:szCs w:val="24"/>
        </w:rPr>
        <w:t>Interpretazione del contratto</w:t>
      </w:r>
      <w:r>
        <w:tab/>
      </w:r>
      <w:r w:rsidR="00445E85">
        <w:t>15</w:t>
      </w:r>
    </w:p>
    <w:p w14:paraId="53AF975B" w14:textId="77777777" w:rsidR="00722E4D" w:rsidRDefault="00722E4D" w:rsidP="00722E4D">
      <w:pPr>
        <w:pStyle w:val="Sommario2"/>
        <w:tabs>
          <w:tab w:val="right" w:leader="dot" w:pos="10489"/>
        </w:tabs>
        <w:ind w:left="216"/>
      </w:pPr>
      <w:r>
        <w:rPr>
          <w:rFonts w:ascii="Titillium Up" w:hAnsi="Titillium Up"/>
          <w:sz w:val="24"/>
          <w:szCs w:val="24"/>
        </w:rPr>
        <w:t xml:space="preserve">5.13 </w:t>
      </w:r>
      <w:r w:rsidRPr="000E420E">
        <w:rPr>
          <w:rFonts w:ascii="Titillium Up" w:hAnsi="Titillium Up"/>
          <w:sz w:val="24"/>
          <w:szCs w:val="24"/>
        </w:rPr>
        <w:t>Regolazione Del Premio</w:t>
      </w:r>
      <w:r>
        <w:tab/>
      </w:r>
      <w:r w:rsidR="00445E85">
        <w:t>15</w:t>
      </w:r>
    </w:p>
    <w:p w14:paraId="124E5BDF" w14:textId="77777777" w:rsidR="00722E4D" w:rsidRDefault="00722E4D" w:rsidP="00722E4D">
      <w:pPr>
        <w:pStyle w:val="Sommario2"/>
        <w:tabs>
          <w:tab w:val="right" w:leader="dot" w:pos="10489"/>
        </w:tabs>
        <w:ind w:left="216"/>
      </w:pPr>
      <w:r>
        <w:rPr>
          <w:rFonts w:ascii="Titillium Up" w:hAnsi="Titillium Up"/>
          <w:sz w:val="24"/>
          <w:szCs w:val="24"/>
        </w:rPr>
        <w:lastRenderedPageBreak/>
        <w:t xml:space="preserve">5.14 </w:t>
      </w:r>
      <w:r w:rsidRPr="000E420E">
        <w:rPr>
          <w:rFonts w:ascii="Titillium Up" w:hAnsi="Titillium Up"/>
          <w:sz w:val="24"/>
          <w:szCs w:val="24"/>
        </w:rPr>
        <w:t>Clausola Arbitrale</w:t>
      </w:r>
      <w:r>
        <w:tab/>
      </w:r>
      <w:r w:rsidR="00445E85">
        <w:t>15</w:t>
      </w:r>
    </w:p>
    <w:p w14:paraId="63273D5F" w14:textId="77777777" w:rsidR="00722E4D" w:rsidRDefault="00722E4D" w:rsidP="00722E4D">
      <w:pPr>
        <w:pStyle w:val="Sommario2"/>
        <w:tabs>
          <w:tab w:val="right" w:leader="dot" w:pos="10489"/>
        </w:tabs>
        <w:ind w:left="216"/>
      </w:pPr>
      <w:r>
        <w:rPr>
          <w:rFonts w:ascii="Titillium Up" w:hAnsi="Titillium Up"/>
          <w:sz w:val="24"/>
          <w:szCs w:val="24"/>
        </w:rPr>
        <w:t xml:space="preserve">5.15 </w:t>
      </w:r>
      <w:r w:rsidRPr="000E420E">
        <w:rPr>
          <w:rFonts w:ascii="Titillium Up" w:hAnsi="Titillium Up"/>
          <w:sz w:val="24"/>
          <w:szCs w:val="24"/>
        </w:rPr>
        <w:t>Esclusione Rischio Cyber</w:t>
      </w:r>
      <w:r>
        <w:tab/>
      </w:r>
      <w:r w:rsidR="00445E85">
        <w:t>16</w:t>
      </w:r>
    </w:p>
    <w:p w14:paraId="736A4AA9" w14:textId="77777777" w:rsidR="00722E4D" w:rsidRDefault="00722E4D" w:rsidP="00722E4D">
      <w:pPr>
        <w:pStyle w:val="Sommario2"/>
        <w:tabs>
          <w:tab w:val="right" w:leader="dot" w:pos="10489"/>
        </w:tabs>
        <w:ind w:left="216"/>
      </w:pPr>
      <w:r>
        <w:rPr>
          <w:rFonts w:ascii="Titillium Up" w:hAnsi="Titillium Up"/>
          <w:sz w:val="24"/>
          <w:szCs w:val="24"/>
        </w:rPr>
        <w:t xml:space="preserve">5.16 </w:t>
      </w:r>
      <w:r w:rsidRPr="000E420E">
        <w:rPr>
          <w:rFonts w:ascii="Titillium Up" w:hAnsi="Titillium Up"/>
          <w:sz w:val="24"/>
          <w:szCs w:val="24"/>
        </w:rPr>
        <w:t>Diritto Dell'assicurato Al Ripensamento</w:t>
      </w:r>
      <w:r>
        <w:tab/>
      </w:r>
      <w:r w:rsidR="00445E85">
        <w:t>16</w:t>
      </w:r>
    </w:p>
    <w:p w14:paraId="4FBF3DD7" w14:textId="77777777" w:rsidR="001E1576" w:rsidRDefault="001E1576" w:rsidP="001E1576"/>
    <w:p w14:paraId="76B4321A" w14:textId="77777777" w:rsidR="00722E4D" w:rsidRDefault="00722E4D" w:rsidP="00722E4D">
      <w:pPr>
        <w:pStyle w:val="Testonormale"/>
        <w:spacing w:line="360" w:lineRule="auto"/>
        <w:jc w:val="both"/>
        <w:rPr>
          <w:rFonts w:ascii="Titillium Up" w:hAnsi="Titillium Up"/>
          <w:sz w:val="24"/>
          <w:szCs w:val="24"/>
        </w:rPr>
      </w:pPr>
    </w:p>
    <w:p w14:paraId="79F2F6D8" w14:textId="77777777" w:rsidR="00722E4D" w:rsidRDefault="00722E4D" w:rsidP="00722E4D">
      <w:pPr>
        <w:pStyle w:val="Testonormale"/>
        <w:spacing w:line="360" w:lineRule="auto"/>
        <w:jc w:val="both"/>
        <w:rPr>
          <w:rFonts w:ascii="Titillium Up" w:hAnsi="Titillium Up"/>
          <w:sz w:val="24"/>
          <w:szCs w:val="24"/>
        </w:rPr>
      </w:pPr>
    </w:p>
    <w:p w14:paraId="78F4AFC8" w14:textId="77777777" w:rsidR="00722E4D" w:rsidRDefault="00722E4D" w:rsidP="00722E4D">
      <w:pPr>
        <w:pStyle w:val="Testonormale"/>
        <w:spacing w:line="360" w:lineRule="auto"/>
        <w:jc w:val="both"/>
        <w:rPr>
          <w:rFonts w:ascii="Titillium Up" w:hAnsi="Titillium Up"/>
          <w:sz w:val="24"/>
          <w:szCs w:val="24"/>
        </w:rPr>
      </w:pPr>
    </w:p>
    <w:p w14:paraId="5E087A79" w14:textId="77777777" w:rsidR="00722E4D" w:rsidRDefault="00722E4D" w:rsidP="00722E4D">
      <w:pPr>
        <w:pStyle w:val="Testonormale"/>
        <w:spacing w:line="360" w:lineRule="auto"/>
        <w:jc w:val="both"/>
        <w:rPr>
          <w:rFonts w:ascii="Titillium Up" w:hAnsi="Titillium Up"/>
          <w:sz w:val="24"/>
          <w:szCs w:val="24"/>
        </w:rPr>
      </w:pPr>
    </w:p>
    <w:p w14:paraId="064F66AD" w14:textId="77777777" w:rsidR="00722E4D" w:rsidRDefault="00722E4D" w:rsidP="00722E4D">
      <w:pPr>
        <w:pStyle w:val="Testonormale"/>
        <w:spacing w:line="360" w:lineRule="auto"/>
        <w:jc w:val="both"/>
        <w:rPr>
          <w:rFonts w:ascii="Titillium Up" w:hAnsi="Titillium Up"/>
          <w:sz w:val="24"/>
          <w:szCs w:val="24"/>
        </w:rPr>
      </w:pPr>
    </w:p>
    <w:p w14:paraId="2F22B1D9" w14:textId="77777777" w:rsidR="00722E4D" w:rsidRDefault="00722E4D" w:rsidP="00722E4D">
      <w:pPr>
        <w:pStyle w:val="Testonormale"/>
        <w:spacing w:line="360" w:lineRule="auto"/>
        <w:jc w:val="both"/>
        <w:rPr>
          <w:rFonts w:ascii="Titillium Up" w:hAnsi="Titillium Up"/>
          <w:sz w:val="24"/>
          <w:szCs w:val="24"/>
        </w:rPr>
      </w:pPr>
    </w:p>
    <w:p w14:paraId="610D91BF" w14:textId="77777777" w:rsidR="00722E4D" w:rsidRDefault="00722E4D" w:rsidP="00722E4D">
      <w:pPr>
        <w:pStyle w:val="Testonormale"/>
        <w:spacing w:line="360" w:lineRule="auto"/>
        <w:jc w:val="both"/>
        <w:rPr>
          <w:rFonts w:ascii="Titillium Up" w:hAnsi="Titillium Up"/>
          <w:sz w:val="24"/>
          <w:szCs w:val="24"/>
        </w:rPr>
      </w:pPr>
    </w:p>
    <w:p w14:paraId="609D23E7" w14:textId="77777777" w:rsidR="00722E4D" w:rsidRDefault="00722E4D" w:rsidP="00722E4D">
      <w:pPr>
        <w:pStyle w:val="Testonormale"/>
        <w:spacing w:line="360" w:lineRule="auto"/>
        <w:jc w:val="both"/>
        <w:rPr>
          <w:rFonts w:ascii="Titillium Up" w:hAnsi="Titillium Up"/>
          <w:sz w:val="24"/>
          <w:szCs w:val="24"/>
        </w:rPr>
      </w:pPr>
    </w:p>
    <w:p w14:paraId="077734C1" w14:textId="77777777" w:rsidR="00722E4D" w:rsidRDefault="00722E4D" w:rsidP="00722E4D">
      <w:pPr>
        <w:pStyle w:val="Testonormale"/>
        <w:spacing w:line="360" w:lineRule="auto"/>
        <w:jc w:val="both"/>
        <w:rPr>
          <w:rFonts w:ascii="Titillium Up" w:hAnsi="Titillium Up"/>
          <w:sz w:val="24"/>
          <w:szCs w:val="24"/>
        </w:rPr>
      </w:pPr>
    </w:p>
    <w:p w14:paraId="032F8FCE" w14:textId="77777777" w:rsidR="00722E4D" w:rsidRDefault="00722E4D" w:rsidP="00722E4D">
      <w:pPr>
        <w:pStyle w:val="Testonormale"/>
        <w:spacing w:line="360" w:lineRule="auto"/>
        <w:jc w:val="both"/>
        <w:rPr>
          <w:rFonts w:ascii="Titillium Up" w:hAnsi="Titillium Up"/>
          <w:sz w:val="24"/>
          <w:szCs w:val="24"/>
        </w:rPr>
      </w:pPr>
    </w:p>
    <w:p w14:paraId="52AC9472" w14:textId="77777777" w:rsidR="00722E4D" w:rsidRDefault="00722E4D" w:rsidP="00722E4D">
      <w:pPr>
        <w:pStyle w:val="Testonormale"/>
        <w:spacing w:line="360" w:lineRule="auto"/>
        <w:jc w:val="both"/>
        <w:rPr>
          <w:rFonts w:ascii="Titillium Up" w:hAnsi="Titillium Up"/>
          <w:sz w:val="24"/>
          <w:szCs w:val="24"/>
        </w:rPr>
      </w:pPr>
    </w:p>
    <w:p w14:paraId="41C7C59D" w14:textId="77777777" w:rsidR="00722E4D" w:rsidRDefault="00722E4D" w:rsidP="00722E4D">
      <w:pPr>
        <w:pStyle w:val="Testonormale"/>
        <w:spacing w:line="360" w:lineRule="auto"/>
        <w:jc w:val="both"/>
        <w:rPr>
          <w:rFonts w:ascii="Titillium Up" w:hAnsi="Titillium Up"/>
          <w:sz w:val="24"/>
          <w:szCs w:val="24"/>
        </w:rPr>
      </w:pPr>
    </w:p>
    <w:p w14:paraId="27F4ED9B" w14:textId="77777777" w:rsidR="00722E4D" w:rsidRDefault="00722E4D" w:rsidP="00722E4D">
      <w:pPr>
        <w:pStyle w:val="Testonormale"/>
        <w:spacing w:line="360" w:lineRule="auto"/>
        <w:jc w:val="both"/>
        <w:rPr>
          <w:rFonts w:ascii="Titillium Up" w:hAnsi="Titillium Up"/>
          <w:sz w:val="24"/>
          <w:szCs w:val="24"/>
        </w:rPr>
      </w:pPr>
    </w:p>
    <w:p w14:paraId="7A4C176A" w14:textId="77777777" w:rsidR="00722E4D" w:rsidRDefault="00722E4D" w:rsidP="00722E4D">
      <w:pPr>
        <w:pStyle w:val="Testonormale"/>
        <w:spacing w:line="360" w:lineRule="auto"/>
        <w:jc w:val="both"/>
        <w:rPr>
          <w:rFonts w:ascii="Titillium Up" w:hAnsi="Titillium Up"/>
          <w:sz w:val="24"/>
          <w:szCs w:val="24"/>
        </w:rPr>
      </w:pPr>
    </w:p>
    <w:p w14:paraId="542B41FB" w14:textId="77777777" w:rsidR="00722E4D" w:rsidRDefault="00722E4D" w:rsidP="00722E4D">
      <w:pPr>
        <w:pStyle w:val="Testonormale"/>
        <w:spacing w:line="360" w:lineRule="auto"/>
        <w:jc w:val="both"/>
        <w:rPr>
          <w:rFonts w:ascii="Titillium Up" w:hAnsi="Titillium Up"/>
          <w:sz w:val="24"/>
          <w:szCs w:val="24"/>
        </w:rPr>
      </w:pPr>
    </w:p>
    <w:p w14:paraId="1A8F196C" w14:textId="77777777" w:rsidR="00722E4D" w:rsidRDefault="00722E4D" w:rsidP="00722E4D">
      <w:pPr>
        <w:pStyle w:val="Testonormale"/>
        <w:spacing w:line="360" w:lineRule="auto"/>
        <w:jc w:val="both"/>
        <w:rPr>
          <w:rFonts w:ascii="Titillium Up" w:hAnsi="Titillium Up"/>
          <w:sz w:val="24"/>
          <w:szCs w:val="24"/>
        </w:rPr>
      </w:pPr>
    </w:p>
    <w:p w14:paraId="7ECEF289" w14:textId="77777777" w:rsidR="00722E4D" w:rsidRDefault="00722E4D" w:rsidP="00722E4D">
      <w:pPr>
        <w:pStyle w:val="Testonormale"/>
        <w:spacing w:line="360" w:lineRule="auto"/>
        <w:jc w:val="both"/>
        <w:rPr>
          <w:rFonts w:ascii="Titillium Up" w:hAnsi="Titillium Up"/>
          <w:sz w:val="24"/>
          <w:szCs w:val="24"/>
        </w:rPr>
      </w:pPr>
    </w:p>
    <w:p w14:paraId="643B7BB6" w14:textId="77777777" w:rsidR="00722E4D" w:rsidRDefault="00722E4D" w:rsidP="00722E4D">
      <w:pPr>
        <w:pStyle w:val="Testonormale"/>
        <w:spacing w:line="360" w:lineRule="auto"/>
        <w:jc w:val="both"/>
        <w:rPr>
          <w:rFonts w:ascii="Titillium Up" w:hAnsi="Titillium Up"/>
          <w:sz w:val="24"/>
          <w:szCs w:val="24"/>
        </w:rPr>
      </w:pPr>
    </w:p>
    <w:p w14:paraId="5905DE64" w14:textId="77777777" w:rsidR="00722E4D" w:rsidRDefault="00722E4D" w:rsidP="00722E4D">
      <w:pPr>
        <w:pStyle w:val="Testonormale"/>
        <w:spacing w:line="360" w:lineRule="auto"/>
        <w:jc w:val="both"/>
        <w:rPr>
          <w:rFonts w:ascii="Titillium Up" w:hAnsi="Titillium Up"/>
          <w:sz w:val="24"/>
          <w:szCs w:val="24"/>
        </w:rPr>
      </w:pPr>
    </w:p>
    <w:p w14:paraId="51318409" w14:textId="77777777" w:rsidR="00722E4D" w:rsidRDefault="00722E4D" w:rsidP="00722E4D">
      <w:pPr>
        <w:pStyle w:val="Testonormale"/>
        <w:spacing w:line="360" w:lineRule="auto"/>
        <w:jc w:val="both"/>
        <w:rPr>
          <w:rFonts w:ascii="Titillium Up" w:hAnsi="Titillium Up"/>
          <w:sz w:val="24"/>
          <w:szCs w:val="24"/>
        </w:rPr>
      </w:pPr>
    </w:p>
    <w:p w14:paraId="73A321B6" w14:textId="0E1C9F43" w:rsidR="00722E4D" w:rsidRDefault="00722E4D" w:rsidP="00722E4D">
      <w:pPr>
        <w:pStyle w:val="Testonormale"/>
        <w:spacing w:line="360" w:lineRule="auto"/>
        <w:jc w:val="both"/>
        <w:rPr>
          <w:rFonts w:ascii="Titillium Up" w:hAnsi="Titillium Up"/>
          <w:sz w:val="24"/>
          <w:szCs w:val="24"/>
        </w:rPr>
      </w:pPr>
    </w:p>
    <w:p w14:paraId="7B168250" w14:textId="29922103" w:rsidR="00D53555" w:rsidRDefault="00D53555" w:rsidP="00722E4D">
      <w:pPr>
        <w:pStyle w:val="Testonormale"/>
        <w:spacing w:line="360" w:lineRule="auto"/>
        <w:jc w:val="both"/>
        <w:rPr>
          <w:rFonts w:ascii="Titillium Up" w:hAnsi="Titillium Up"/>
          <w:sz w:val="24"/>
          <w:szCs w:val="24"/>
        </w:rPr>
      </w:pPr>
    </w:p>
    <w:p w14:paraId="660943EF" w14:textId="0C800B7B" w:rsidR="00D53555" w:rsidRDefault="00D53555" w:rsidP="00722E4D">
      <w:pPr>
        <w:pStyle w:val="Testonormale"/>
        <w:spacing w:line="360" w:lineRule="auto"/>
        <w:jc w:val="both"/>
        <w:rPr>
          <w:rFonts w:ascii="Titillium Up" w:hAnsi="Titillium Up"/>
          <w:sz w:val="24"/>
          <w:szCs w:val="24"/>
        </w:rPr>
      </w:pPr>
    </w:p>
    <w:p w14:paraId="2745377D" w14:textId="256E8D07" w:rsidR="00D53555" w:rsidRDefault="00D53555" w:rsidP="00722E4D">
      <w:pPr>
        <w:pStyle w:val="Testonormale"/>
        <w:spacing w:line="360" w:lineRule="auto"/>
        <w:jc w:val="both"/>
        <w:rPr>
          <w:rFonts w:ascii="Titillium Up" w:hAnsi="Titillium Up"/>
          <w:sz w:val="24"/>
          <w:szCs w:val="24"/>
        </w:rPr>
      </w:pPr>
    </w:p>
    <w:p w14:paraId="1D251E7C" w14:textId="340F45D4" w:rsidR="00D53555" w:rsidRDefault="00D53555" w:rsidP="00722E4D">
      <w:pPr>
        <w:pStyle w:val="Testonormale"/>
        <w:spacing w:line="360" w:lineRule="auto"/>
        <w:jc w:val="both"/>
        <w:rPr>
          <w:rFonts w:ascii="Titillium Up" w:hAnsi="Titillium Up"/>
          <w:sz w:val="24"/>
          <w:szCs w:val="24"/>
        </w:rPr>
      </w:pPr>
    </w:p>
    <w:p w14:paraId="48F69422" w14:textId="77777777" w:rsidR="00D53555" w:rsidRDefault="00D53555" w:rsidP="00722E4D">
      <w:pPr>
        <w:pStyle w:val="Testonormale"/>
        <w:spacing w:line="360" w:lineRule="auto"/>
        <w:jc w:val="both"/>
        <w:rPr>
          <w:rFonts w:ascii="Titillium Up" w:hAnsi="Titillium Up"/>
          <w:sz w:val="24"/>
          <w:szCs w:val="24"/>
        </w:rPr>
      </w:pPr>
    </w:p>
    <w:p w14:paraId="54513827" w14:textId="77777777" w:rsidR="00F05BEF" w:rsidRPr="00F74040" w:rsidRDefault="00F05BEF" w:rsidP="00F05BEF">
      <w:pPr>
        <w:pStyle w:val="Paragrafoelenco"/>
        <w:widowControl w:val="0"/>
        <w:numPr>
          <w:ilvl w:val="0"/>
          <w:numId w:val="33"/>
        </w:numPr>
        <w:suppressAutoHyphens/>
        <w:autoSpaceDE w:val="0"/>
        <w:autoSpaceDN w:val="0"/>
        <w:adjustRightInd w:val="0"/>
        <w:spacing w:after="0" w:line="240" w:lineRule="auto"/>
        <w:ind w:left="426"/>
        <w:jc w:val="both"/>
        <w:textAlignment w:val="center"/>
        <w:rPr>
          <w:rFonts w:ascii="Titillium Up" w:eastAsia="Times New Roman" w:hAnsi="Titillium Up" w:cs="Arial"/>
          <w:b/>
          <w:color w:val="0070C0"/>
          <w:sz w:val="34"/>
          <w:szCs w:val="34"/>
          <w:u w:val="single"/>
          <w:lang w:eastAsia="it-IT"/>
        </w:rPr>
      </w:pPr>
      <w:r w:rsidRPr="00F74040">
        <w:rPr>
          <w:rFonts w:ascii="Titillium Up" w:eastAsia="Times New Roman" w:hAnsi="Titillium Up" w:cs="Arial"/>
          <w:b/>
          <w:color w:val="0070C0"/>
          <w:sz w:val="34"/>
          <w:szCs w:val="34"/>
          <w:u w:val="single"/>
          <w:lang w:eastAsia="it-IT"/>
        </w:rPr>
        <w:lastRenderedPageBreak/>
        <w:t>GLOSSARIO</w:t>
      </w:r>
    </w:p>
    <w:p w14:paraId="4AE425E1" w14:textId="77777777" w:rsidR="00F05BEF" w:rsidRPr="00F74040" w:rsidRDefault="00F05BEF" w:rsidP="00F05BEF">
      <w:pPr>
        <w:widowControl w:val="0"/>
        <w:suppressAutoHyphens/>
        <w:autoSpaceDE w:val="0"/>
        <w:autoSpaceDN w:val="0"/>
        <w:adjustRightInd w:val="0"/>
        <w:jc w:val="both"/>
        <w:textAlignment w:val="center"/>
        <w:rPr>
          <w:rFonts w:ascii="Titillium Up" w:hAnsi="Titillium Up" w:cs="Arial"/>
          <w:b/>
          <w:color w:val="0070C0"/>
          <w:sz w:val="34"/>
          <w:szCs w:val="34"/>
          <w:u w:val="single"/>
        </w:rPr>
      </w:pPr>
      <w:r w:rsidRPr="00F74040">
        <w:rPr>
          <w:rFonts w:ascii="Titillium Up" w:hAnsi="Titillium Up" w:cs="Arial"/>
          <w:b/>
          <w:color w:val="0070C0"/>
          <w:sz w:val="34"/>
          <w:szCs w:val="34"/>
          <w:u w:val="single"/>
        </w:rPr>
        <w:t xml:space="preserve">                                                                                                          </w:t>
      </w:r>
    </w:p>
    <w:p w14:paraId="2D8E104A"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sidRPr="00561674">
        <w:rPr>
          <w:rFonts w:ascii="Titillium Up" w:hAnsi="Titillium Up" w:cs="Arial"/>
          <w:color w:val="000000"/>
          <w:sz w:val="24"/>
          <w:szCs w:val="24"/>
        </w:rPr>
        <w:t>Nel testo che segue si intendono per:</w:t>
      </w:r>
    </w:p>
    <w:p w14:paraId="3E13C1C5"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16FD8912"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sidRPr="00561674">
        <w:rPr>
          <w:rFonts w:ascii="Titillium Up" w:hAnsi="Titillium Up" w:cs="Arial"/>
          <w:b/>
          <w:bCs/>
          <w:color w:val="000000"/>
          <w:sz w:val="24"/>
          <w:szCs w:val="24"/>
        </w:rPr>
        <w:t>ADESIONE ALLA CONVENZIONE</w:t>
      </w:r>
    </w:p>
    <w:p w14:paraId="17803D9A" w14:textId="77777777" w:rsidR="00F05BEF" w:rsidRPr="00561674" w:rsidRDefault="00F05BEF" w:rsidP="00F05BEF">
      <w:pPr>
        <w:widowControl w:val="0"/>
        <w:autoSpaceDE w:val="0"/>
        <w:autoSpaceDN w:val="0"/>
        <w:adjustRightInd w:val="0"/>
        <w:ind w:firstLine="1"/>
        <w:jc w:val="both"/>
        <w:textAlignment w:val="center"/>
        <w:rPr>
          <w:rFonts w:ascii="Titillium Up" w:hAnsi="Titillium Up" w:cs="Arial"/>
          <w:color w:val="000000"/>
          <w:sz w:val="24"/>
          <w:szCs w:val="24"/>
        </w:rPr>
      </w:pPr>
      <w:r>
        <w:rPr>
          <w:rFonts w:ascii="Titillium Up" w:hAnsi="Titillium Up" w:cs="Arial"/>
          <w:color w:val="000000"/>
          <w:sz w:val="24"/>
          <w:szCs w:val="24"/>
        </w:rPr>
        <w:t>L’</w:t>
      </w:r>
      <w:r w:rsidRPr="00561674">
        <w:rPr>
          <w:rFonts w:ascii="Titillium Up" w:hAnsi="Titillium Up" w:cs="Arial"/>
          <w:color w:val="000000"/>
          <w:sz w:val="24"/>
          <w:szCs w:val="24"/>
        </w:rPr>
        <w:t xml:space="preserve">assicurato aderisce alla Convenzione mediante iscrizione sul sito internet dedicato contestualmente al bonifico effettuato al broker. </w:t>
      </w:r>
    </w:p>
    <w:p w14:paraId="2DC7EA0E"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p>
    <w:p w14:paraId="696ADBE6"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AMMANCO DI CASSA</w:t>
      </w:r>
    </w:p>
    <w:p w14:paraId="4382E4F7"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D</w:t>
      </w:r>
      <w:r w:rsidRPr="00561674">
        <w:rPr>
          <w:rFonts w:ascii="Titillium Up" w:hAnsi="Titillium Up" w:cs="Arial"/>
          <w:color w:val="000000"/>
          <w:sz w:val="24"/>
          <w:szCs w:val="24"/>
        </w:rPr>
        <w:t>eficienze di cassa per contanti e/o valori riscontrati alla chiusura giornaliera dei conti</w:t>
      </w:r>
      <w:r>
        <w:rPr>
          <w:rFonts w:ascii="Titillium Up" w:hAnsi="Titillium Up" w:cs="Arial"/>
          <w:color w:val="000000"/>
          <w:sz w:val="24"/>
          <w:szCs w:val="24"/>
        </w:rPr>
        <w:t>.</w:t>
      </w:r>
    </w:p>
    <w:p w14:paraId="0F96AC7A"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p>
    <w:p w14:paraId="22638882"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ASSICURATO</w:t>
      </w:r>
    </w:p>
    <w:p w14:paraId="5F78A1F1"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I</w:t>
      </w:r>
      <w:r w:rsidRPr="00561674">
        <w:rPr>
          <w:rFonts w:ascii="Titillium Up" w:hAnsi="Titillium Up" w:cs="Arial"/>
          <w:color w:val="000000"/>
          <w:sz w:val="24"/>
          <w:szCs w:val="24"/>
        </w:rPr>
        <w:t>l soggetto aderente al Sindacato di categoria il cui interesse è protetto</w:t>
      </w:r>
      <w:r>
        <w:rPr>
          <w:rFonts w:ascii="Titillium Up" w:hAnsi="Titillium Up" w:cs="Arial"/>
          <w:color w:val="000000"/>
          <w:sz w:val="24"/>
          <w:szCs w:val="24"/>
        </w:rPr>
        <w:t xml:space="preserve"> </w:t>
      </w:r>
      <w:r w:rsidRPr="00561674">
        <w:rPr>
          <w:rFonts w:ascii="Titillium Up" w:hAnsi="Titillium Up" w:cs="Arial"/>
          <w:color w:val="000000"/>
          <w:sz w:val="24"/>
          <w:szCs w:val="24"/>
        </w:rPr>
        <w:t>dall’assicurazione;</w:t>
      </w:r>
    </w:p>
    <w:p w14:paraId="31E975AA" w14:textId="77777777" w:rsidR="00BE3F39" w:rsidRDefault="00BE3F39"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p>
    <w:p w14:paraId="6453CFCD" w14:textId="77777777" w:rsidR="00BE3F39" w:rsidRDefault="00BE3F39"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ASSICURAZIONE</w:t>
      </w:r>
    </w:p>
    <w:p w14:paraId="7E57CB87" w14:textId="77777777" w:rsidR="00F05BEF" w:rsidRDefault="00BE3F39"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I</w:t>
      </w:r>
      <w:r w:rsidR="00F05BEF" w:rsidRPr="00561674">
        <w:rPr>
          <w:rFonts w:ascii="Titillium Up" w:hAnsi="Titillium Up" w:cs="Arial"/>
          <w:color w:val="000000"/>
          <w:sz w:val="24"/>
          <w:szCs w:val="24"/>
        </w:rPr>
        <w:t>l contratto di assicurazione</w:t>
      </w:r>
      <w:r w:rsidR="00F05BEF">
        <w:rPr>
          <w:rFonts w:ascii="Titillium Up" w:hAnsi="Titillium Up" w:cs="Arial"/>
          <w:color w:val="000000"/>
          <w:sz w:val="24"/>
          <w:szCs w:val="24"/>
        </w:rPr>
        <w:t>.</w:t>
      </w:r>
    </w:p>
    <w:p w14:paraId="0927F501"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5CEEDDAF"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BROKER</w:t>
      </w:r>
    </w:p>
    <w:p w14:paraId="52BB76DD"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L</w:t>
      </w:r>
      <w:r w:rsidRPr="00561674">
        <w:rPr>
          <w:rFonts w:ascii="Titillium Up" w:hAnsi="Titillium Up" w:cs="Arial"/>
          <w:color w:val="000000"/>
          <w:sz w:val="24"/>
          <w:szCs w:val="24"/>
        </w:rPr>
        <w:t>’intermediario di assicurazioni a cui il Contraente abbia affidato l’incarico di Brokeraggio</w:t>
      </w:r>
      <w:r>
        <w:rPr>
          <w:rFonts w:ascii="Titillium Up" w:hAnsi="Titillium Up" w:cs="Arial"/>
          <w:color w:val="000000"/>
          <w:sz w:val="24"/>
          <w:szCs w:val="24"/>
        </w:rPr>
        <w:t>.</w:t>
      </w:r>
    </w:p>
    <w:p w14:paraId="7CCBD286"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32586181"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sidRPr="00561674">
        <w:rPr>
          <w:rFonts w:ascii="Titillium Up" w:hAnsi="Titillium Up" w:cs="Arial"/>
          <w:b/>
          <w:bCs/>
          <w:color w:val="000000"/>
          <w:sz w:val="24"/>
          <w:szCs w:val="24"/>
        </w:rPr>
        <w:t>CONTRAENTE</w:t>
      </w:r>
    </w:p>
    <w:p w14:paraId="03A17167"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I</w:t>
      </w:r>
      <w:r w:rsidRPr="00561674">
        <w:rPr>
          <w:rFonts w:ascii="Titillium Up" w:hAnsi="Titillium Up" w:cs="Arial"/>
          <w:color w:val="000000"/>
          <w:sz w:val="24"/>
          <w:szCs w:val="24"/>
        </w:rPr>
        <w:t>l soggetto che stipula l’assicurazione</w:t>
      </w:r>
      <w:r>
        <w:rPr>
          <w:rFonts w:ascii="Titillium Up" w:hAnsi="Titillium Up" w:cs="Arial"/>
          <w:color w:val="000000"/>
          <w:sz w:val="24"/>
          <w:szCs w:val="24"/>
        </w:rPr>
        <w:t>.</w:t>
      </w:r>
    </w:p>
    <w:p w14:paraId="6388203B"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784970E4"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CONVENZIONE</w:t>
      </w:r>
    </w:p>
    <w:p w14:paraId="347CC587" w14:textId="77777777" w:rsidR="00F05BEF" w:rsidRDefault="00F05BEF" w:rsidP="00F05BEF">
      <w:pPr>
        <w:widowControl w:val="0"/>
        <w:autoSpaceDE w:val="0"/>
        <w:autoSpaceDN w:val="0"/>
        <w:adjustRightInd w:val="0"/>
        <w:ind w:firstLine="1"/>
        <w:jc w:val="both"/>
        <w:textAlignment w:val="center"/>
        <w:rPr>
          <w:rFonts w:ascii="Titillium Up" w:hAnsi="Titillium Up" w:cs="Arial"/>
          <w:color w:val="000000"/>
          <w:sz w:val="24"/>
          <w:szCs w:val="24"/>
        </w:rPr>
      </w:pPr>
      <w:r>
        <w:rPr>
          <w:rFonts w:ascii="Titillium Up" w:hAnsi="Titillium Up" w:cs="Arial"/>
          <w:color w:val="000000"/>
          <w:sz w:val="24"/>
          <w:szCs w:val="24"/>
        </w:rPr>
        <w:t>A</w:t>
      </w:r>
      <w:r w:rsidRPr="00561674">
        <w:rPr>
          <w:rFonts w:ascii="Titillium Up" w:hAnsi="Titillium Up" w:cs="Arial"/>
          <w:color w:val="000000"/>
          <w:sz w:val="24"/>
          <w:szCs w:val="24"/>
        </w:rPr>
        <w:t>ccordo sottoscritto dal Contraente con la Compagnia di Assicurazioni che disciplina la</w:t>
      </w:r>
      <w:r>
        <w:rPr>
          <w:rFonts w:ascii="Titillium Up" w:hAnsi="Titillium Up" w:cs="Arial"/>
          <w:color w:val="000000"/>
          <w:sz w:val="24"/>
          <w:szCs w:val="24"/>
        </w:rPr>
        <w:t xml:space="preserve"> </w:t>
      </w:r>
      <w:r w:rsidRPr="00561674">
        <w:rPr>
          <w:rFonts w:ascii="Titillium Up" w:hAnsi="Titillium Up" w:cs="Arial"/>
          <w:color w:val="000000"/>
          <w:sz w:val="24"/>
          <w:szCs w:val="24"/>
        </w:rPr>
        <w:t>copertura assicurativa prestata a favore di ciascun assicurato.</w:t>
      </w:r>
    </w:p>
    <w:p w14:paraId="31B298B2"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2B98B789"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DIMORA ABITUALE</w:t>
      </w:r>
    </w:p>
    <w:p w14:paraId="1CC5D891" w14:textId="77777777" w:rsidR="00F05BEF" w:rsidRDefault="00F05BEF" w:rsidP="00F05BEF">
      <w:pPr>
        <w:widowControl w:val="0"/>
        <w:autoSpaceDE w:val="0"/>
        <w:autoSpaceDN w:val="0"/>
        <w:adjustRightInd w:val="0"/>
        <w:ind w:firstLine="1"/>
        <w:jc w:val="both"/>
        <w:textAlignment w:val="center"/>
        <w:rPr>
          <w:rFonts w:ascii="Titillium Up" w:hAnsi="Titillium Up" w:cs="Arial"/>
          <w:color w:val="000000"/>
          <w:sz w:val="24"/>
          <w:szCs w:val="24"/>
        </w:rPr>
      </w:pPr>
      <w:r>
        <w:rPr>
          <w:rFonts w:ascii="Titillium Up" w:hAnsi="Titillium Up" w:cs="Arial"/>
          <w:color w:val="000000"/>
          <w:sz w:val="24"/>
          <w:szCs w:val="24"/>
        </w:rPr>
        <w:t>Q</w:t>
      </w:r>
      <w:r w:rsidRPr="00561674">
        <w:rPr>
          <w:rFonts w:ascii="Titillium Up" w:hAnsi="Titillium Up" w:cs="Arial"/>
          <w:color w:val="000000"/>
          <w:sz w:val="24"/>
          <w:szCs w:val="24"/>
        </w:rPr>
        <w:t>uella relativa alla residenza anagrafica dell’assicurato e comunque l’abitazione principale in cui l’assicurato dimora per la maggior parte dell’anno</w:t>
      </w:r>
      <w:r>
        <w:rPr>
          <w:rFonts w:ascii="Titillium Up" w:hAnsi="Titillium Up" w:cs="Arial"/>
          <w:color w:val="000000"/>
          <w:sz w:val="24"/>
          <w:szCs w:val="24"/>
        </w:rPr>
        <w:t>.</w:t>
      </w:r>
    </w:p>
    <w:p w14:paraId="6D11E553" w14:textId="77777777" w:rsidR="00F05BEF" w:rsidRPr="00561674" w:rsidRDefault="00F05BEF" w:rsidP="00F05BEF">
      <w:pPr>
        <w:widowControl w:val="0"/>
        <w:autoSpaceDE w:val="0"/>
        <w:autoSpaceDN w:val="0"/>
        <w:adjustRightInd w:val="0"/>
        <w:ind w:firstLine="1"/>
        <w:jc w:val="both"/>
        <w:textAlignment w:val="center"/>
        <w:rPr>
          <w:rFonts w:ascii="Titillium Up" w:hAnsi="Titillium Up" w:cs="Arial"/>
          <w:color w:val="000000"/>
          <w:sz w:val="24"/>
          <w:szCs w:val="24"/>
        </w:rPr>
      </w:pPr>
    </w:p>
    <w:p w14:paraId="62979943"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DIMORA SALTUARI</w:t>
      </w:r>
      <w:r>
        <w:rPr>
          <w:rFonts w:ascii="Titillium Up" w:hAnsi="Titillium Up" w:cs="Arial"/>
          <w:b/>
          <w:bCs/>
          <w:color w:val="000000"/>
          <w:sz w:val="24"/>
          <w:szCs w:val="24"/>
        </w:rPr>
        <w:t>A</w:t>
      </w:r>
    </w:p>
    <w:p w14:paraId="6CDF7FC5"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Q</w:t>
      </w:r>
      <w:r w:rsidRPr="00561674">
        <w:rPr>
          <w:rFonts w:ascii="Titillium Up" w:hAnsi="Titillium Up" w:cs="Arial"/>
          <w:color w:val="000000"/>
          <w:sz w:val="24"/>
          <w:szCs w:val="24"/>
        </w:rPr>
        <w:t>uella in cui l’assicurato gode della disponibilità ma non dimora abitualmente</w:t>
      </w:r>
      <w:r>
        <w:rPr>
          <w:rFonts w:ascii="Titillium Up" w:hAnsi="Titillium Up" w:cs="Arial"/>
          <w:color w:val="000000"/>
          <w:sz w:val="24"/>
          <w:szCs w:val="24"/>
        </w:rPr>
        <w:t>.</w:t>
      </w:r>
    </w:p>
    <w:p w14:paraId="5535A000"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05480E86"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FABBRICATO</w:t>
      </w:r>
    </w:p>
    <w:p w14:paraId="3861DB16" w14:textId="77777777" w:rsidR="00F05BEF" w:rsidRDefault="00F05BEF" w:rsidP="00F05BEF">
      <w:pPr>
        <w:widowControl w:val="0"/>
        <w:autoSpaceDE w:val="0"/>
        <w:autoSpaceDN w:val="0"/>
        <w:adjustRightInd w:val="0"/>
        <w:ind w:firstLine="1"/>
        <w:jc w:val="both"/>
        <w:textAlignment w:val="center"/>
        <w:rPr>
          <w:rFonts w:ascii="Titillium Up" w:hAnsi="Titillium Up" w:cs="Arial"/>
          <w:color w:val="000000"/>
          <w:sz w:val="24"/>
          <w:szCs w:val="24"/>
        </w:rPr>
      </w:pPr>
      <w:r>
        <w:rPr>
          <w:rFonts w:ascii="Titillium Up" w:hAnsi="Titillium Up" w:cs="Arial"/>
          <w:color w:val="000000"/>
          <w:sz w:val="24"/>
          <w:szCs w:val="24"/>
        </w:rPr>
        <w:t>L</w:t>
      </w:r>
      <w:r w:rsidRPr="00561674">
        <w:rPr>
          <w:rFonts w:ascii="Titillium Up" w:hAnsi="Titillium Up" w:cs="Arial"/>
          <w:color w:val="000000"/>
          <w:sz w:val="24"/>
          <w:szCs w:val="24"/>
        </w:rPr>
        <w:t>a costruzione edile, costruita con strutture portanti verticali, pareti esterne e copertura del tetto in materiali incombustibili, adibita a civile abitazione comprendente i locali di proprietà dell’assicurato, costituenti l’intero fabbricato o una sua porzione, comprese le dipendenze (cantine, soffitte, box)</w:t>
      </w:r>
      <w:r>
        <w:rPr>
          <w:rFonts w:ascii="Titillium Up" w:hAnsi="Titillium Up" w:cs="Arial"/>
          <w:color w:val="000000"/>
          <w:sz w:val="24"/>
          <w:szCs w:val="24"/>
        </w:rPr>
        <w:t>.</w:t>
      </w:r>
    </w:p>
    <w:p w14:paraId="1D1E9B82" w14:textId="77777777" w:rsidR="00BE3F39" w:rsidRDefault="00BE3F39"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p>
    <w:p w14:paraId="3A408CC3"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FRANCHIGIA</w:t>
      </w:r>
    </w:p>
    <w:p w14:paraId="5964FA11"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P</w:t>
      </w:r>
      <w:r w:rsidRPr="00561674">
        <w:rPr>
          <w:rFonts w:ascii="Titillium Up" w:hAnsi="Titillium Up" w:cs="Arial"/>
          <w:color w:val="000000"/>
          <w:sz w:val="24"/>
          <w:szCs w:val="24"/>
        </w:rPr>
        <w:t>arte del danno risarcibile espressa in importo fisso che rimane a carico dell’Assicurato</w:t>
      </w:r>
      <w:r>
        <w:rPr>
          <w:rFonts w:ascii="Titillium Up" w:hAnsi="Titillium Up" w:cs="Arial"/>
          <w:color w:val="000000"/>
          <w:sz w:val="24"/>
          <w:szCs w:val="24"/>
        </w:rPr>
        <w:t>.</w:t>
      </w:r>
    </w:p>
    <w:p w14:paraId="11DA473A"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7DEB48DE"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lastRenderedPageBreak/>
        <w:t>INDENNIZZO</w:t>
      </w:r>
    </w:p>
    <w:p w14:paraId="465773D2"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L</w:t>
      </w:r>
      <w:r w:rsidRPr="00561674">
        <w:rPr>
          <w:rFonts w:ascii="Titillium Up" w:hAnsi="Titillium Up" w:cs="Arial"/>
          <w:color w:val="000000"/>
          <w:sz w:val="24"/>
          <w:szCs w:val="24"/>
        </w:rPr>
        <w:t>a somma dovuta dalla Società in caso di sinistro</w:t>
      </w:r>
      <w:r>
        <w:rPr>
          <w:rFonts w:ascii="Titillium Up" w:hAnsi="Titillium Up" w:cs="Arial"/>
          <w:color w:val="000000"/>
          <w:sz w:val="24"/>
          <w:szCs w:val="24"/>
        </w:rPr>
        <w:t>.</w:t>
      </w:r>
    </w:p>
    <w:p w14:paraId="24030CD8"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24106DDF"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LIMITE DI INDENNIZZO</w:t>
      </w:r>
    </w:p>
    <w:p w14:paraId="2553CEB8"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L</w:t>
      </w:r>
      <w:r w:rsidRPr="00561674">
        <w:rPr>
          <w:rFonts w:ascii="Titillium Up" w:hAnsi="Titillium Up" w:cs="Arial"/>
          <w:color w:val="000000"/>
          <w:sz w:val="24"/>
          <w:szCs w:val="24"/>
        </w:rPr>
        <w:t>a somma massima dovuta dalla Società</w:t>
      </w:r>
      <w:r>
        <w:rPr>
          <w:rFonts w:ascii="Titillium Up" w:hAnsi="Titillium Up" w:cs="Arial"/>
          <w:color w:val="000000"/>
          <w:sz w:val="24"/>
          <w:szCs w:val="24"/>
        </w:rPr>
        <w:t>.</w:t>
      </w:r>
    </w:p>
    <w:p w14:paraId="1B2E1FFE"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p>
    <w:p w14:paraId="538E2120"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POLIZZA</w:t>
      </w:r>
    </w:p>
    <w:p w14:paraId="0E9997E7"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I</w:t>
      </w:r>
      <w:r w:rsidRPr="00561674">
        <w:rPr>
          <w:rFonts w:ascii="Titillium Up" w:hAnsi="Titillium Up" w:cs="Arial"/>
          <w:color w:val="000000"/>
          <w:sz w:val="24"/>
          <w:szCs w:val="24"/>
        </w:rPr>
        <w:t>l documento che prova l’assicurazione</w:t>
      </w:r>
      <w:r>
        <w:rPr>
          <w:rFonts w:ascii="Titillium Up" w:hAnsi="Titillium Up" w:cs="Arial"/>
          <w:color w:val="000000"/>
          <w:sz w:val="24"/>
          <w:szCs w:val="24"/>
        </w:rPr>
        <w:t>.</w:t>
      </w:r>
    </w:p>
    <w:p w14:paraId="35653323"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0667A4BA"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PREMIO</w:t>
      </w:r>
    </w:p>
    <w:p w14:paraId="51273355" w14:textId="56806A21"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L</w:t>
      </w:r>
      <w:r w:rsidRPr="00561674">
        <w:rPr>
          <w:rFonts w:ascii="Titillium Up" w:hAnsi="Titillium Up" w:cs="Arial"/>
          <w:color w:val="000000"/>
          <w:sz w:val="24"/>
          <w:szCs w:val="24"/>
        </w:rPr>
        <w:t>a somma dovuta dal Contraente/Assicurato alla Società</w:t>
      </w:r>
      <w:r>
        <w:rPr>
          <w:rFonts w:ascii="Titillium Up" w:hAnsi="Titillium Up" w:cs="Arial"/>
          <w:color w:val="000000"/>
          <w:sz w:val="24"/>
          <w:szCs w:val="24"/>
        </w:rPr>
        <w:t>.</w:t>
      </w:r>
    </w:p>
    <w:p w14:paraId="177451BA" w14:textId="647008F6" w:rsidR="005328D5" w:rsidRDefault="005328D5"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697CAB48" w14:textId="77777777" w:rsidR="005328D5" w:rsidRPr="00DF0C37" w:rsidRDefault="005328D5" w:rsidP="005328D5">
      <w:pPr>
        <w:widowControl w:val="0"/>
        <w:autoSpaceDE w:val="0"/>
        <w:autoSpaceDN w:val="0"/>
        <w:adjustRightInd w:val="0"/>
        <w:ind w:left="284" w:hanging="283"/>
        <w:jc w:val="both"/>
        <w:textAlignment w:val="center"/>
        <w:rPr>
          <w:rFonts w:ascii="Titillium Up" w:hAnsi="Titillium Up"/>
          <w:b/>
          <w:bCs/>
          <w:color w:val="000000"/>
          <w:sz w:val="24"/>
          <w:szCs w:val="22"/>
        </w:rPr>
      </w:pPr>
      <w:r w:rsidRPr="00DF0C37">
        <w:rPr>
          <w:rFonts w:ascii="Titillium Up" w:hAnsi="Titillium Up"/>
          <w:b/>
          <w:bCs/>
          <w:color w:val="000000"/>
          <w:sz w:val="24"/>
          <w:szCs w:val="22"/>
        </w:rPr>
        <w:t>PHISHING</w:t>
      </w:r>
    </w:p>
    <w:p w14:paraId="6EC3E3F6" w14:textId="77777777" w:rsidR="005328D5" w:rsidRPr="00DF0C37" w:rsidRDefault="005328D5" w:rsidP="005328D5">
      <w:pPr>
        <w:widowControl w:val="0"/>
        <w:autoSpaceDE w:val="0"/>
        <w:autoSpaceDN w:val="0"/>
        <w:adjustRightInd w:val="0"/>
        <w:ind w:left="284" w:hanging="283"/>
        <w:jc w:val="both"/>
        <w:textAlignment w:val="center"/>
        <w:rPr>
          <w:rFonts w:ascii="Titillium Up" w:hAnsi="Titillium Up" w:cs="Arial"/>
          <w:color w:val="000000"/>
          <w:sz w:val="24"/>
          <w:szCs w:val="24"/>
        </w:rPr>
      </w:pPr>
      <w:r w:rsidRPr="00DF0C37">
        <w:rPr>
          <w:rFonts w:ascii="Titillium Up" w:hAnsi="Titillium Up"/>
          <w:color w:val="000000"/>
          <w:sz w:val="24"/>
          <w:szCs w:val="22"/>
        </w:rPr>
        <w:t>Truffa compiuta tramite l’invio di email fraudolente.</w:t>
      </w:r>
    </w:p>
    <w:p w14:paraId="67E933D2"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7875E75D"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RESPONSABILITÀ PROFESSIONALE</w:t>
      </w:r>
    </w:p>
    <w:p w14:paraId="5E39C016" w14:textId="77777777" w:rsidR="00F05BEF" w:rsidRDefault="00F05BEF" w:rsidP="00F05BEF">
      <w:pPr>
        <w:widowControl w:val="0"/>
        <w:autoSpaceDE w:val="0"/>
        <w:autoSpaceDN w:val="0"/>
        <w:adjustRightInd w:val="0"/>
        <w:ind w:firstLine="1"/>
        <w:jc w:val="both"/>
        <w:textAlignment w:val="center"/>
        <w:rPr>
          <w:rFonts w:ascii="Titillium Up" w:hAnsi="Titillium Up" w:cs="Arial"/>
          <w:color w:val="000000"/>
          <w:sz w:val="24"/>
          <w:szCs w:val="24"/>
        </w:rPr>
      </w:pPr>
      <w:r>
        <w:rPr>
          <w:rFonts w:ascii="Titillium Up" w:hAnsi="Titillium Up" w:cs="Arial"/>
          <w:color w:val="000000"/>
          <w:sz w:val="24"/>
          <w:szCs w:val="24"/>
        </w:rPr>
        <w:t>P</w:t>
      </w:r>
      <w:r w:rsidRPr="00561674">
        <w:rPr>
          <w:rFonts w:ascii="Titillium Up" w:hAnsi="Titillium Up" w:cs="Arial"/>
          <w:color w:val="000000"/>
          <w:sz w:val="24"/>
          <w:szCs w:val="24"/>
        </w:rPr>
        <w:t>erdite patrimoniali involontariamente cagionate a terzi, compreso l’Istituto di appartenenza, che abbiano comportato a carico dell’assicurato stesso il rimborso ai sensi di quanto previsto dal “ Contratto Collettivo Nazionale di Lavoro” in relazione all’adempimento delle mansioni affidategli.</w:t>
      </w:r>
    </w:p>
    <w:p w14:paraId="688AFC02" w14:textId="77777777" w:rsidR="00F05BEF" w:rsidRPr="00561674" w:rsidRDefault="00F05BEF" w:rsidP="00F05BEF">
      <w:pPr>
        <w:widowControl w:val="0"/>
        <w:autoSpaceDE w:val="0"/>
        <w:autoSpaceDN w:val="0"/>
        <w:adjustRightInd w:val="0"/>
        <w:ind w:firstLine="1"/>
        <w:jc w:val="both"/>
        <w:textAlignment w:val="center"/>
        <w:rPr>
          <w:rFonts w:ascii="Titillium Up" w:hAnsi="Titillium Up" w:cs="Arial"/>
          <w:color w:val="000000"/>
          <w:sz w:val="24"/>
          <w:szCs w:val="24"/>
        </w:rPr>
      </w:pPr>
      <w:r w:rsidRPr="00561674">
        <w:rPr>
          <w:rFonts w:ascii="Titillium Up" w:hAnsi="Titillium Up" w:cs="Arial"/>
          <w:color w:val="000000"/>
          <w:sz w:val="24"/>
          <w:szCs w:val="24"/>
        </w:rPr>
        <w:t xml:space="preserve"> </w:t>
      </w:r>
    </w:p>
    <w:p w14:paraId="36F2C7C5"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A3410">
        <w:rPr>
          <w:rFonts w:ascii="Titillium Up" w:hAnsi="Titillium Up" w:cs="Arial"/>
          <w:b/>
          <w:bCs/>
          <w:color w:val="000000"/>
          <w:sz w:val="24"/>
          <w:szCs w:val="24"/>
        </w:rPr>
        <w:t>SC</w:t>
      </w:r>
      <w:r w:rsidRPr="00561674">
        <w:rPr>
          <w:rFonts w:ascii="Titillium Up" w:hAnsi="Titillium Up" w:cs="Arial"/>
          <w:b/>
          <w:bCs/>
          <w:color w:val="000000"/>
          <w:sz w:val="24"/>
          <w:szCs w:val="24"/>
        </w:rPr>
        <w:t>OPERTO</w:t>
      </w:r>
    </w:p>
    <w:p w14:paraId="1AE6B1C0"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P</w:t>
      </w:r>
      <w:r w:rsidRPr="00561674">
        <w:rPr>
          <w:rFonts w:ascii="Titillium Up" w:hAnsi="Titillium Up" w:cs="Arial"/>
          <w:color w:val="000000"/>
          <w:sz w:val="24"/>
          <w:szCs w:val="24"/>
        </w:rPr>
        <w:t>arte del danno risarcibile espressa in percentuale che rimane a carico dell’Assicurato</w:t>
      </w:r>
      <w:r>
        <w:rPr>
          <w:rFonts w:ascii="Titillium Up" w:hAnsi="Titillium Up" w:cs="Arial"/>
          <w:color w:val="000000"/>
          <w:sz w:val="24"/>
          <w:szCs w:val="24"/>
        </w:rPr>
        <w:t>.</w:t>
      </w:r>
    </w:p>
    <w:p w14:paraId="1F3DDCC8"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234BA9D1"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SINISTRO</w:t>
      </w:r>
    </w:p>
    <w:p w14:paraId="28BE8381"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I</w:t>
      </w:r>
      <w:r w:rsidRPr="00561674">
        <w:rPr>
          <w:rFonts w:ascii="Titillium Up" w:hAnsi="Titillium Up" w:cs="Arial"/>
          <w:color w:val="000000"/>
          <w:sz w:val="24"/>
          <w:szCs w:val="24"/>
        </w:rPr>
        <w:t>l verificarsi del fatto dannoso, per il quale è prestata la copertura assicurativa</w:t>
      </w:r>
      <w:r>
        <w:rPr>
          <w:rFonts w:ascii="Titillium Up" w:hAnsi="Titillium Up" w:cs="Arial"/>
          <w:color w:val="000000"/>
          <w:sz w:val="24"/>
          <w:szCs w:val="24"/>
        </w:rPr>
        <w:t>.</w:t>
      </w:r>
    </w:p>
    <w:p w14:paraId="2FC7B7C4"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1BE1B41F"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SOCIETÀ</w:t>
      </w:r>
    </w:p>
    <w:p w14:paraId="3CC7BB8A"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L</w:t>
      </w:r>
      <w:r w:rsidRPr="00561674">
        <w:rPr>
          <w:rFonts w:ascii="Titillium Up" w:hAnsi="Titillium Up" w:cs="Arial"/>
          <w:color w:val="000000"/>
          <w:sz w:val="24"/>
          <w:szCs w:val="24"/>
        </w:rPr>
        <w:t>’impresa assicuratrice</w:t>
      </w:r>
      <w:r>
        <w:rPr>
          <w:rFonts w:ascii="Titillium Up" w:hAnsi="Titillium Up" w:cs="Arial"/>
          <w:color w:val="000000"/>
          <w:sz w:val="24"/>
          <w:szCs w:val="24"/>
        </w:rPr>
        <w:t>.</w:t>
      </w:r>
    </w:p>
    <w:p w14:paraId="55727266" w14:textId="77777777" w:rsidR="00B31659" w:rsidRPr="00C04E56" w:rsidRDefault="00B31659" w:rsidP="00B31659">
      <w:pPr>
        <w:tabs>
          <w:tab w:val="left" w:pos="4253"/>
          <w:tab w:val="left" w:pos="5954"/>
          <w:tab w:val="left" w:pos="6805"/>
          <w:tab w:val="left" w:pos="8223"/>
          <w:tab w:val="left" w:pos="9641"/>
        </w:tabs>
        <w:jc w:val="both"/>
        <w:rPr>
          <w:rFonts w:ascii="Titillium Up" w:hAnsi="Titillium Up" w:cs="Arial"/>
          <w:b/>
          <w:color w:val="17365D"/>
          <w:sz w:val="36"/>
          <w:szCs w:val="22"/>
        </w:rPr>
      </w:pPr>
    </w:p>
    <w:p w14:paraId="229BA805" w14:textId="77777777" w:rsidR="00B31659" w:rsidRPr="00C04E56" w:rsidRDefault="00B31659" w:rsidP="004A3292">
      <w:pPr>
        <w:tabs>
          <w:tab w:val="left" w:pos="4253"/>
          <w:tab w:val="left" w:pos="5954"/>
          <w:tab w:val="left" w:pos="6805"/>
          <w:tab w:val="left" w:pos="8223"/>
          <w:tab w:val="left" w:pos="9641"/>
        </w:tabs>
        <w:jc w:val="both"/>
        <w:rPr>
          <w:rFonts w:ascii="Titillium Up" w:hAnsi="Titillium Up" w:cs="Arial"/>
          <w:b/>
          <w:color w:val="17365D"/>
          <w:sz w:val="36"/>
          <w:szCs w:val="22"/>
        </w:rPr>
      </w:pPr>
    </w:p>
    <w:p w14:paraId="4889900C" w14:textId="77777777" w:rsidR="004A3292" w:rsidRPr="00C04E56" w:rsidRDefault="004A3292" w:rsidP="004A3292">
      <w:pPr>
        <w:pStyle w:val="Testonormale"/>
        <w:spacing w:line="360" w:lineRule="auto"/>
        <w:ind w:left="360"/>
        <w:jc w:val="both"/>
        <w:rPr>
          <w:rFonts w:ascii="Titillium Up" w:hAnsi="Titillium Up" w:cs="Arial"/>
          <w:b/>
          <w:color w:val="1F497D"/>
        </w:rPr>
      </w:pPr>
    </w:p>
    <w:p w14:paraId="6067FA18" w14:textId="77777777" w:rsidR="004A3292" w:rsidRDefault="004A3292" w:rsidP="004A3292">
      <w:pPr>
        <w:pStyle w:val="Testonormale"/>
        <w:spacing w:line="360" w:lineRule="auto"/>
        <w:ind w:left="360"/>
        <w:jc w:val="both"/>
        <w:rPr>
          <w:rFonts w:ascii="Titillium Up" w:hAnsi="Titillium Up" w:cs="Arial"/>
          <w:b/>
          <w:color w:val="1F497D"/>
        </w:rPr>
      </w:pPr>
    </w:p>
    <w:p w14:paraId="0FF24D7A" w14:textId="77777777" w:rsidR="0043213A" w:rsidRPr="00C04E56" w:rsidRDefault="0043213A" w:rsidP="004A3292">
      <w:pPr>
        <w:pStyle w:val="Testonormale"/>
        <w:spacing w:line="360" w:lineRule="auto"/>
        <w:ind w:left="360"/>
        <w:jc w:val="both"/>
        <w:rPr>
          <w:rFonts w:ascii="Titillium Up" w:hAnsi="Titillium Up" w:cs="Arial"/>
          <w:b/>
          <w:color w:val="1F497D"/>
        </w:rPr>
        <w:sectPr w:rsidR="0043213A" w:rsidRPr="00C04E56" w:rsidSect="002A742E">
          <w:headerReference w:type="even" r:id="rId15"/>
          <w:headerReference w:type="default" r:id="rId16"/>
          <w:footerReference w:type="even" r:id="rId17"/>
          <w:footerReference w:type="default" r:id="rId18"/>
          <w:headerReference w:type="first" r:id="rId19"/>
          <w:footerReference w:type="first" r:id="rId20"/>
          <w:pgSz w:w="11906" w:h="16838" w:code="9"/>
          <w:pgMar w:top="567" w:right="566" w:bottom="567" w:left="851" w:header="425" w:footer="361" w:gutter="0"/>
          <w:pgNumType w:start="1"/>
          <w:cols w:space="720" w:equalWidth="0">
            <w:col w:w="10489"/>
          </w:cols>
        </w:sectPr>
      </w:pPr>
    </w:p>
    <w:p w14:paraId="5D93043B" w14:textId="77777777" w:rsidR="00F05BEF" w:rsidRPr="00F74040" w:rsidRDefault="00F05BEF" w:rsidP="00F05BEF">
      <w:pPr>
        <w:pStyle w:val="Paragrafoelenco"/>
        <w:widowControl w:val="0"/>
        <w:numPr>
          <w:ilvl w:val="0"/>
          <w:numId w:val="33"/>
        </w:numPr>
        <w:suppressAutoHyphens/>
        <w:autoSpaceDE w:val="0"/>
        <w:autoSpaceDN w:val="0"/>
        <w:adjustRightInd w:val="0"/>
        <w:spacing w:after="0" w:line="240" w:lineRule="auto"/>
        <w:ind w:left="284"/>
        <w:jc w:val="both"/>
        <w:textAlignment w:val="center"/>
        <w:rPr>
          <w:rFonts w:ascii="Titillium Up" w:eastAsia="Times New Roman" w:hAnsi="Titillium Up" w:cs="Arial"/>
          <w:b/>
          <w:color w:val="0070C0"/>
          <w:sz w:val="34"/>
          <w:szCs w:val="34"/>
          <w:u w:val="single"/>
          <w:lang w:eastAsia="it-IT"/>
        </w:rPr>
      </w:pPr>
      <w:bookmarkStart w:id="0" w:name="_Toc373394630"/>
      <w:bookmarkStart w:id="1" w:name="_Toc404790048"/>
      <w:bookmarkStart w:id="2" w:name="_Toc531101116"/>
      <w:r w:rsidRPr="00F74040">
        <w:rPr>
          <w:rFonts w:ascii="Titillium Up" w:eastAsia="Times New Roman" w:hAnsi="Titillium Up" w:cs="Arial"/>
          <w:b/>
          <w:color w:val="0070C0"/>
          <w:sz w:val="34"/>
          <w:szCs w:val="34"/>
          <w:u w:val="single"/>
          <w:lang w:eastAsia="it-IT"/>
        </w:rPr>
        <w:lastRenderedPageBreak/>
        <w:t>R. C. AMMANCHI DI CASSA</w:t>
      </w:r>
      <w:bookmarkEnd w:id="0"/>
      <w:bookmarkEnd w:id="1"/>
      <w:bookmarkEnd w:id="2"/>
    </w:p>
    <w:p w14:paraId="6C162D23"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29CE9286" w14:textId="77777777" w:rsidR="00F05BEF" w:rsidRPr="00F05BEF" w:rsidRDefault="00F05BEF" w:rsidP="00F05BEF">
      <w:pPr>
        <w:widowControl w:val="0"/>
        <w:numPr>
          <w:ilvl w:val="0"/>
          <w:numId w:val="3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ind w:left="567" w:hanging="567"/>
        <w:jc w:val="both"/>
        <w:textAlignment w:val="center"/>
        <w:rPr>
          <w:rFonts w:ascii="Titillium Up" w:hAnsi="Titillium Up" w:cs="Arial"/>
          <w:b/>
          <w:bCs/>
          <w:caps/>
          <w:color w:val="0070C0"/>
          <w:w w:val="94"/>
          <w:sz w:val="28"/>
          <w:szCs w:val="28"/>
        </w:rPr>
      </w:pPr>
      <w:bookmarkStart w:id="3" w:name="_Toc373394631"/>
      <w:bookmarkStart w:id="4" w:name="_Toc404790049"/>
      <w:bookmarkStart w:id="5" w:name="_Toc531101117"/>
      <w:r w:rsidRPr="00F05BEF">
        <w:rPr>
          <w:rFonts w:ascii="Titillium Up" w:hAnsi="Titillium Up" w:cs="Arial"/>
          <w:b/>
          <w:bCs/>
          <w:caps/>
          <w:color w:val="0070C0"/>
          <w:w w:val="94"/>
          <w:sz w:val="28"/>
          <w:szCs w:val="28"/>
        </w:rPr>
        <w:t>Oggetto dell’assicurazione</w:t>
      </w:r>
      <w:bookmarkEnd w:id="3"/>
      <w:bookmarkEnd w:id="4"/>
      <w:bookmarkEnd w:id="5"/>
    </w:p>
    <w:p w14:paraId="74D7ED6D"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 xml:space="preserve">La Società si obbliga a rifondere agli Assicurati di quanto questi siano tenuti a pagare, quali civilmente responsabili ai sensi di legge, per perdite patrimoniali involontariamente cagionate a terzi, compreso l’istituto di Credito di appartenenza per le somme relative a deficienze di cassa per contanti o valori, anche determinate da errate operazioni relative alla gestione del bancomat, riscontrate alla chiusura giornaliera dei conti, verificatesi dopo la stipulazione della polizza e delle singole adesioni, che abbiano comportato a carico dell’Assicurato stesso il rimborso ai sensi di quanto previsto dal “Contratto Collettivo Nazionale di Lavoro” in relazione all’adempimento delle mansioni affidategli nella qualità di cassieri,  e/o  per i quadri, gli impiegati, i commessi e gli ausiliari, anche lavoratori temporanei e/o terminali delle Aziende di Credito e Finanziarie e/o similari per le disposizioni contenute in contratti o regolamenti interni. </w:t>
      </w:r>
    </w:p>
    <w:p w14:paraId="1ABC6B22"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L’assicurazione vale esclusivamente per la personale e diretta responsabilità dell’Assicurato, con l’esclusione della parte di responsabilità che gli possa derivare in via solidale dal rapporto con altre persone.</w:t>
      </w:r>
    </w:p>
    <w:p w14:paraId="4966A6A2"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La garanzia vale esclusivamente per le richieste di risarcimento nell’ambito del territorio italiano.</w:t>
      </w:r>
    </w:p>
    <w:p w14:paraId="02135FEF" w14:textId="77777777" w:rsidR="00F05BEF" w:rsidRPr="00EF0340" w:rsidRDefault="00F05BEF" w:rsidP="00F05BEF">
      <w:pPr>
        <w:autoSpaceDE w:val="0"/>
        <w:autoSpaceDN w:val="0"/>
        <w:adjustRightInd w:val="0"/>
        <w:rPr>
          <w:rFonts w:ascii="Arial" w:hAnsi="Arial"/>
          <w:sz w:val="24"/>
          <w:szCs w:val="24"/>
        </w:rPr>
      </w:pPr>
    </w:p>
    <w:p w14:paraId="3C540773" w14:textId="77777777" w:rsidR="00F05BEF" w:rsidRPr="00F05BEF" w:rsidRDefault="00F05BEF" w:rsidP="00F05BEF">
      <w:pPr>
        <w:widowControl w:val="0"/>
        <w:numPr>
          <w:ilvl w:val="0"/>
          <w:numId w:val="3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ind w:left="567" w:hanging="567"/>
        <w:jc w:val="both"/>
        <w:textAlignment w:val="center"/>
        <w:rPr>
          <w:rFonts w:ascii="Titillium Up" w:hAnsi="Titillium Up" w:cs="Arial"/>
          <w:b/>
          <w:bCs/>
          <w:caps/>
          <w:color w:val="0070C0"/>
          <w:w w:val="94"/>
          <w:sz w:val="28"/>
          <w:szCs w:val="28"/>
        </w:rPr>
      </w:pPr>
      <w:bookmarkStart w:id="6" w:name="_Toc373394632"/>
      <w:bookmarkStart w:id="7" w:name="_Toc404790050"/>
      <w:bookmarkStart w:id="8" w:name="_Toc531101118"/>
      <w:r w:rsidRPr="00F05BEF">
        <w:rPr>
          <w:rFonts w:ascii="Titillium Up" w:hAnsi="Titillium Up" w:cs="Arial"/>
          <w:b/>
          <w:bCs/>
          <w:caps/>
          <w:color w:val="0070C0"/>
          <w:w w:val="94"/>
          <w:sz w:val="28"/>
          <w:szCs w:val="28"/>
        </w:rPr>
        <w:t>Esclusione dolo</w:t>
      </w:r>
      <w:bookmarkEnd w:id="6"/>
      <w:bookmarkEnd w:id="7"/>
      <w:bookmarkEnd w:id="8"/>
      <w:r w:rsidRPr="00F05BEF">
        <w:rPr>
          <w:rFonts w:ascii="Titillium Up" w:hAnsi="Titillium Up" w:cs="Arial"/>
          <w:b/>
          <w:bCs/>
          <w:caps/>
          <w:color w:val="0070C0"/>
          <w:w w:val="94"/>
          <w:sz w:val="28"/>
          <w:szCs w:val="28"/>
        </w:rPr>
        <w:t xml:space="preserve"> </w:t>
      </w:r>
    </w:p>
    <w:p w14:paraId="7EAEA662"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La garanzia prestata con la presente polizza non sarà operante per i rimborsi conseguenti ad ammanchi o perdite dovute a fatto penalmente perseguibile, infedeltà e dolo dell’Assicurato.</w:t>
      </w:r>
    </w:p>
    <w:p w14:paraId="0D320C1E" w14:textId="77777777" w:rsidR="00F05BEF" w:rsidRPr="00EF0340" w:rsidRDefault="00F05BEF" w:rsidP="00F05BEF">
      <w:pPr>
        <w:autoSpaceDE w:val="0"/>
        <w:autoSpaceDN w:val="0"/>
        <w:adjustRightInd w:val="0"/>
        <w:rPr>
          <w:rFonts w:ascii="Arial" w:hAnsi="Arial"/>
          <w:sz w:val="24"/>
          <w:szCs w:val="24"/>
        </w:rPr>
      </w:pPr>
    </w:p>
    <w:p w14:paraId="5407A0F5" w14:textId="77777777" w:rsidR="00F05BEF" w:rsidRPr="00F05BEF" w:rsidRDefault="00F05BEF" w:rsidP="00F05BEF">
      <w:pPr>
        <w:widowControl w:val="0"/>
        <w:numPr>
          <w:ilvl w:val="0"/>
          <w:numId w:val="3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ind w:left="567" w:hanging="567"/>
        <w:jc w:val="both"/>
        <w:textAlignment w:val="center"/>
        <w:rPr>
          <w:rFonts w:ascii="Titillium Up" w:hAnsi="Titillium Up" w:cs="Arial"/>
          <w:b/>
          <w:bCs/>
          <w:caps/>
          <w:color w:val="0070C0"/>
          <w:w w:val="94"/>
          <w:sz w:val="28"/>
          <w:szCs w:val="28"/>
        </w:rPr>
      </w:pPr>
      <w:bookmarkStart w:id="9" w:name="_Toc373394633"/>
      <w:bookmarkStart w:id="10" w:name="_Toc404790051"/>
      <w:bookmarkStart w:id="11" w:name="_Toc531101119"/>
      <w:r w:rsidRPr="00F05BEF">
        <w:rPr>
          <w:rFonts w:ascii="Titillium Up" w:hAnsi="Titillium Up" w:cs="Arial"/>
          <w:b/>
          <w:bCs/>
          <w:caps/>
          <w:color w:val="0070C0"/>
          <w:w w:val="94"/>
          <w:sz w:val="28"/>
          <w:szCs w:val="28"/>
        </w:rPr>
        <w:t>Altre esclusioni</w:t>
      </w:r>
      <w:bookmarkEnd w:id="9"/>
      <w:bookmarkEnd w:id="10"/>
      <w:bookmarkEnd w:id="11"/>
    </w:p>
    <w:p w14:paraId="43B6AA79"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L’assicurazione non comprende i danni:</w:t>
      </w:r>
    </w:p>
    <w:p w14:paraId="51B6CB22" w14:textId="77777777" w:rsidR="00F05BEF" w:rsidRPr="00804A17" w:rsidRDefault="00F05BEF" w:rsidP="00804A17">
      <w:pPr>
        <w:widowControl w:val="0"/>
        <w:numPr>
          <w:ilvl w:val="0"/>
          <w:numId w:val="40"/>
        </w:numPr>
        <w:autoSpaceDE w:val="0"/>
        <w:autoSpaceDN w:val="0"/>
        <w:adjustRightInd w:val="0"/>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da furto, rapina ed estorsione, furto con destrezza, smarrimento, danneggiamento e distruzione di valori, incendio;</w:t>
      </w:r>
    </w:p>
    <w:p w14:paraId="6C9BB5C2" w14:textId="77777777" w:rsidR="00F05BEF" w:rsidRPr="00804A17" w:rsidRDefault="00F05BEF" w:rsidP="00804A17">
      <w:pPr>
        <w:widowControl w:val="0"/>
        <w:numPr>
          <w:ilvl w:val="0"/>
          <w:numId w:val="40"/>
        </w:numPr>
        <w:autoSpaceDE w:val="0"/>
        <w:autoSpaceDN w:val="0"/>
        <w:adjustRightInd w:val="0"/>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da ammanchi derivanti dal malfunzionamento del bancomat, o cassetti automatici</w:t>
      </w:r>
    </w:p>
    <w:p w14:paraId="2C98CE96" w14:textId="77777777" w:rsidR="00F05BEF" w:rsidRPr="00804A17" w:rsidRDefault="00F05BEF" w:rsidP="00804A17">
      <w:pPr>
        <w:widowControl w:val="0"/>
        <w:numPr>
          <w:ilvl w:val="0"/>
          <w:numId w:val="40"/>
        </w:numPr>
        <w:autoSpaceDE w:val="0"/>
        <w:autoSpaceDN w:val="0"/>
        <w:adjustRightInd w:val="0"/>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da ammanchi relativi a banconote risultate false;</w:t>
      </w:r>
    </w:p>
    <w:p w14:paraId="7D3A14C0" w14:textId="77777777" w:rsidR="00F05BEF" w:rsidRPr="00804A17" w:rsidRDefault="00F05BEF" w:rsidP="00804A17">
      <w:pPr>
        <w:widowControl w:val="0"/>
        <w:numPr>
          <w:ilvl w:val="0"/>
          <w:numId w:val="40"/>
        </w:numPr>
        <w:autoSpaceDE w:val="0"/>
        <w:autoSpaceDN w:val="0"/>
        <w:adjustRightInd w:val="0"/>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da perdite patrimoniali cagionate a terzi, compreso l’istituto di appartenenza che non siano “ammanchi di cassa”;</w:t>
      </w:r>
    </w:p>
    <w:p w14:paraId="383AF5CC" w14:textId="77777777" w:rsidR="00F05BEF" w:rsidRPr="00804A17" w:rsidRDefault="00F05BEF" w:rsidP="00804A17">
      <w:pPr>
        <w:widowControl w:val="0"/>
        <w:numPr>
          <w:ilvl w:val="0"/>
          <w:numId w:val="40"/>
        </w:numPr>
        <w:autoSpaceDE w:val="0"/>
        <w:autoSpaceDN w:val="0"/>
        <w:adjustRightInd w:val="0"/>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da sanzioni di natura fiscale, sanzioni amministrative e/o pecuniarie in genere;</w:t>
      </w:r>
    </w:p>
    <w:p w14:paraId="48F46A40" w14:textId="77777777" w:rsidR="00F05BEF" w:rsidRPr="0043213A" w:rsidRDefault="00F05BEF" w:rsidP="00804A17">
      <w:pPr>
        <w:widowControl w:val="0"/>
        <w:numPr>
          <w:ilvl w:val="0"/>
          <w:numId w:val="40"/>
        </w:numPr>
        <w:autoSpaceDE w:val="0"/>
        <w:autoSpaceDN w:val="0"/>
        <w:adjustRightInd w:val="0"/>
        <w:jc w:val="both"/>
        <w:textAlignment w:val="center"/>
        <w:rPr>
          <w:rFonts w:ascii="Titillium Up" w:hAnsi="Titillium Up" w:cs="Arial"/>
          <w:color w:val="000000"/>
          <w:sz w:val="24"/>
          <w:szCs w:val="24"/>
        </w:rPr>
      </w:pPr>
      <w:r w:rsidRPr="0043213A">
        <w:rPr>
          <w:rFonts w:ascii="Titillium Up" w:hAnsi="Titillium Up" w:cs="Arial"/>
          <w:color w:val="000000"/>
          <w:sz w:val="24"/>
          <w:szCs w:val="24"/>
        </w:rPr>
        <w:t>da eventi di qualsiasi natura, avvenuti antecedentemente l’adesione alla presente polizza.</w:t>
      </w:r>
    </w:p>
    <w:p w14:paraId="639CFC9A" w14:textId="77777777" w:rsidR="00F05BEF" w:rsidRDefault="00F05BEF" w:rsidP="00F05BEF">
      <w:pPr>
        <w:autoSpaceDE w:val="0"/>
        <w:autoSpaceDN w:val="0"/>
        <w:adjustRightInd w:val="0"/>
        <w:rPr>
          <w:rFonts w:ascii="Arial" w:hAnsi="Arial"/>
          <w:sz w:val="24"/>
          <w:szCs w:val="24"/>
        </w:rPr>
      </w:pPr>
    </w:p>
    <w:p w14:paraId="18939A9B" w14:textId="77777777" w:rsidR="00F05BEF" w:rsidRPr="00F05BEF" w:rsidRDefault="00F05BEF" w:rsidP="00F05BEF">
      <w:pPr>
        <w:widowControl w:val="0"/>
        <w:numPr>
          <w:ilvl w:val="0"/>
          <w:numId w:val="3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ind w:left="567" w:hanging="567"/>
        <w:jc w:val="both"/>
        <w:textAlignment w:val="center"/>
        <w:rPr>
          <w:rFonts w:ascii="Titillium Up" w:hAnsi="Titillium Up" w:cs="Arial"/>
          <w:b/>
          <w:bCs/>
          <w:caps/>
          <w:color w:val="0070C0"/>
          <w:w w:val="94"/>
          <w:sz w:val="28"/>
          <w:szCs w:val="28"/>
        </w:rPr>
      </w:pPr>
      <w:bookmarkStart w:id="12" w:name="_Toc373394634"/>
      <w:bookmarkStart w:id="13" w:name="_Toc404790052"/>
      <w:bookmarkStart w:id="14" w:name="_Toc531101120"/>
      <w:r w:rsidRPr="00F05BEF">
        <w:rPr>
          <w:rFonts w:ascii="Titillium Up" w:hAnsi="Titillium Up" w:cs="Arial"/>
          <w:b/>
          <w:bCs/>
          <w:caps/>
          <w:color w:val="0070C0"/>
          <w:w w:val="94"/>
          <w:sz w:val="28"/>
          <w:szCs w:val="28"/>
        </w:rPr>
        <w:t>Massimale</w:t>
      </w:r>
      <w:bookmarkEnd w:id="12"/>
      <w:bookmarkEnd w:id="13"/>
      <w:bookmarkEnd w:id="14"/>
      <w:r w:rsidRPr="00F05BEF">
        <w:rPr>
          <w:rFonts w:ascii="Titillium Up" w:hAnsi="Titillium Up" w:cs="Arial"/>
          <w:b/>
          <w:bCs/>
          <w:caps/>
          <w:color w:val="0070C0"/>
          <w:w w:val="94"/>
          <w:sz w:val="28"/>
          <w:szCs w:val="28"/>
        </w:rPr>
        <w:t xml:space="preserve"> </w:t>
      </w:r>
    </w:p>
    <w:p w14:paraId="719EED0B"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MASSIMALE 1</w:t>
      </w:r>
      <w:r w:rsidR="00E06399">
        <w:rPr>
          <w:rFonts w:ascii="Titillium Up" w:hAnsi="Titillium Up" w:cs="Arial"/>
          <w:color w:val="000000"/>
          <w:sz w:val="24"/>
          <w:szCs w:val="24"/>
        </w:rPr>
        <w:t>B</w:t>
      </w:r>
      <w:r w:rsidRPr="00804A17">
        <w:rPr>
          <w:rFonts w:ascii="Titillium Up" w:hAnsi="Titillium Up" w:cs="Arial"/>
          <w:color w:val="000000"/>
          <w:sz w:val="24"/>
          <w:szCs w:val="24"/>
        </w:rPr>
        <w:t xml:space="preserve"> (€ </w:t>
      </w:r>
      <w:r w:rsidR="00E06399">
        <w:rPr>
          <w:rFonts w:ascii="Titillium Up" w:hAnsi="Titillium Up" w:cs="Arial"/>
          <w:color w:val="000000"/>
          <w:sz w:val="24"/>
          <w:szCs w:val="24"/>
        </w:rPr>
        <w:t>7.5</w:t>
      </w:r>
      <w:r w:rsidRPr="00804A17">
        <w:rPr>
          <w:rFonts w:ascii="Titillium Up" w:hAnsi="Titillium Up" w:cs="Arial"/>
          <w:color w:val="000000"/>
          <w:sz w:val="24"/>
          <w:szCs w:val="24"/>
        </w:rPr>
        <w:t xml:space="preserve">00,00 per sinistro e per anno assicurativo) </w:t>
      </w:r>
    </w:p>
    <w:p w14:paraId="78F8BCCC"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MASSIMALE 2</w:t>
      </w:r>
      <w:r w:rsidR="00E06399">
        <w:rPr>
          <w:rFonts w:ascii="Titillium Up" w:hAnsi="Titillium Up" w:cs="Arial"/>
          <w:color w:val="000000"/>
          <w:sz w:val="24"/>
          <w:szCs w:val="24"/>
        </w:rPr>
        <w:t>B</w:t>
      </w:r>
      <w:r w:rsidRPr="00804A17">
        <w:rPr>
          <w:rFonts w:ascii="Titillium Up" w:hAnsi="Titillium Up" w:cs="Arial"/>
          <w:color w:val="000000"/>
          <w:sz w:val="24"/>
          <w:szCs w:val="24"/>
        </w:rPr>
        <w:t xml:space="preserve"> (€ </w:t>
      </w:r>
      <w:r w:rsidR="00E06399">
        <w:rPr>
          <w:rFonts w:ascii="Titillium Up" w:hAnsi="Titillium Up" w:cs="Arial"/>
          <w:color w:val="000000"/>
          <w:sz w:val="24"/>
          <w:szCs w:val="24"/>
        </w:rPr>
        <w:t>10.000</w:t>
      </w:r>
      <w:r w:rsidRPr="00804A17">
        <w:rPr>
          <w:rFonts w:ascii="Titillium Up" w:hAnsi="Titillium Up" w:cs="Arial"/>
          <w:color w:val="000000"/>
          <w:sz w:val="24"/>
          <w:szCs w:val="24"/>
        </w:rPr>
        <w:t>,00 per sinistro e per anno assicurativo)</w:t>
      </w:r>
    </w:p>
    <w:p w14:paraId="796FDD69"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MASSIMALE 3</w:t>
      </w:r>
      <w:r w:rsidR="00E06399">
        <w:rPr>
          <w:rFonts w:ascii="Titillium Up" w:hAnsi="Titillium Up" w:cs="Arial"/>
          <w:color w:val="000000"/>
          <w:sz w:val="24"/>
          <w:szCs w:val="24"/>
        </w:rPr>
        <w:t>B</w:t>
      </w:r>
      <w:r w:rsidRPr="00804A17">
        <w:rPr>
          <w:rFonts w:ascii="Titillium Up" w:hAnsi="Titillium Up" w:cs="Arial"/>
          <w:color w:val="000000"/>
          <w:sz w:val="24"/>
          <w:szCs w:val="24"/>
        </w:rPr>
        <w:t xml:space="preserve"> (€ 1</w:t>
      </w:r>
      <w:r w:rsidR="00E06399">
        <w:rPr>
          <w:rFonts w:ascii="Titillium Up" w:hAnsi="Titillium Up" w:cs="Arial"/>
          <w:color w:val="000000"/>
          <w:sz w:val="24"/>
          <w:szCs w:val="24"/>
        </w:rPr>
        <w:t>5</w:t>
      </w:r>
      <w:r w:rsidRPr="00804A17">
        <w:rPr>
          <w:rFonts w:ascii="Titillium Up" w:hAnsi="Titillium Up" w:cs="Arial"/>
          <w:color w:val="000000"/>
          <w:sz w:val="24"/>
          <w:szCs w:val="24"/>
        </w:rPr>
        <w:t>.000,00 per sinistro e per anno assicurativo)</w:t>
      </w:r>
    </w:p>
    <w:p w14:paraId="538DF65C"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p>
    <w:p w14:paraId="083112F3" w14:textId="77777777" w:rsidR="00F05BEF"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Rappresenta il massimo esborso da parte della Compagnia per sinistro e per anno assicurativo (riferiti al singolo Assicurato), con i seguenti minimi non indennizzabili:</w:t>
      </w:r>
    </w:p>
    <w:p w14:paraId="5DB09A7D" w14:textId="77777777" w:rsidR="00526F98" w:rsidRDefault="00526F98" w:rsidP="00804A17">
      <w:pPr>
        <w:widowControl w:val="0"/>
        <w:autoSpaceDE w:val="0"/>
        <w:autoSpaceDN w:val="0"/>
        <w:adjustRightInd w:val="0"/>
        <w:ind w:firstLine="1"/>
        <w:jc w:val="both"/>
        <w:textAlignment w:val="center"/>
        <w:rPr>
          <w:rFonts w:ascii="Titillium Up" w:hAnsi="Titillium Up" w:cs="Arial"/>
          <w:color w:val="000000"/>
          <w:sz w:val="24"/>
          <w:szCs w:val="24"/>
        </w:rPr>
      </w:pPr>
    </w:p>
    <w:p w14:paraId="5B239FAD" w14:textId="77777777" w:rsidR="00526F98" w:rsidRDefault="00526F98" w:rsidP="00804A17">
      <w:pPr>
        <w:widowControl w:val="0"/>
        <w:autoSpaceDE w:val="0"/>
        <w:autoSpaceDN w:val="0"/>
        <w:adjustRightInd w:val="0"/>
        <w:ind w:firstLine="1"/>
        <w:jc w:val="both"/>
        <w:textAlignment w:val="center"/>
        <w:rPr>
          <w:rFonts w:ascii="Titillium Up" w:hAnsi="Titillium Up" w:cs="Arial"/>
          <w:color w:val="000000"/>
          <w:sz w:val="24"/>
          <w:szCs w:val="24"/>
        </w:rPr>
      </w:pPr>
    </w:p>
    <w:p w14:paraId="00B189C4" w14:textId="77777777" w:rsidR="00526F98" w:rsidRPr="00804A17" w:rsidRDefault="00526F98" w:rsidP="00804A17">
      <w:pPr>
        <w:widowControl w:val="0"/>
        <w:autoSpaceDE w:val="0"/>
        <w:autoSpaceDN w:val="0"/>
        <w:adjustRightInd w:val="0"/>
        <w:ind w:firstLine="1"/>
        <w:jc w:val="both"/>
        <w:textAlignment w:val="center"/>
        <w:rPr>
          <w:rFonts w:ascii="Titillium Up" w:hAnsi="Titillium Up" w:cs="Arial"/>
          <w:color w:val="000000"/>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540"/>
      </w:tblGrid>
      <w:tr w:rsidR="00F05BEF" w:rsidRPr="00804A17" w14:paraId="4C92C7B4" w14:textId="77777777" w:rsidTr="00B41A2B">
        <w:tc>
          <w:tcPr>
            <w:tcW w:w="4673" w:type="dxa"/>
          </w:tcPr>
          <w:p w14:paraId="35FED67B"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NUMERO SINISTRI</w:t>
            </w:r>
          </w:p>
        </w:tc>
        <w:tc>
          <w:tcPr>
            <w:tcW w:w="4540" w:type="dxa"/>
          </w:tcPr>
          <w:p w14:paraId="0C7701F5"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 xml:space="preserve">MINIMO NON INDENNIZZABILE </w:t>
            </w:r>
          </w:p>
        </w:tc>
      </w:tr>
      <w:tr w:rsidR="00F05BEF" w:rsidRPr="00804A17" w14:paraId="3929299D" w14:textId="77777777" w:rsidTr="00B41A2B">
        <w:tc>
          <w:tcPr>
            <w:tcW w:w="4673" w:type="dxa"/>
          </w:tcPr>
          <w:p w14:paraId="36042AF8"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1°sinistro</w:t>
            </w:r>
          </w:p>
        </w:tc>
        <w:tc>
          <w:tcPr>
            <w:tcW w:w="4540" w:type="dxa"/>
          </w:tcPr>
          <w:p w14:paraId="58F1391E"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0,00</w:t>
            </w:r>
          </w:p>
        </w:tc>
      </w:tr>
      <w:tr w:rsidR="00F05BEF" w:rsidRPr="00804A17" w14:paraId="0061B3CD" w14:textId="77777777" w:rsidTr="00B41A2B">
        <w:tc>
          <w:tcPr>
            <w:tcW w:w="4673" w:type="dxa"/>
          </w:tcPr>
          <w:p w14:paraId="7B2E2D38"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2°sinistro</w:t>
            </w:r>
          </w:p>
        </w:tc>
        <w:tc>
          <w:tcPr>
            <w:tcW w:w="4540" w:type="dxa"/>
          </w:tcPr>
          <w:p w14:paraId="3589BE99"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80,00</w:t>
            </w:r>
          </w:p>
        </w:tc>
      </w:tr>
      <w:tr w:rsidR="00F05BEF" w:rsidRPr="00804A17" w14:paraId="38A387C0" w14:textId="77777777" w:rsidTr="00B41A2B">
        <w:tc>
          <w:tcPr>
            <w:tcW w:w="4673" w:type="dxa"/>
          </w:tcPr>
          <w:p w14:paraId="3F3B6623"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3°sinistro e successivi</w:t>
            </w:r>
          </w:p>
        </w:tc>
        <w:tc>
          <w:tcPr>
            <w:tcW w:w="4540" w:type="dxa"/>
          </w:tcPr>
          <w:p w14:paraId="64CA1C10"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150,00</w:t>
            </w:r>
          </w:p>
        </w:tc>
      </w:tr>
    </w:tbl>
    <w:p w14:paraId="749BA6D7" w14:textId="77777777" w:rsidR="00F05BEF" w:rsidRDefault="00F05BEF" w:rsidP="00F05BEF">
      <w:pPr>
        <w:autoSpaceDE w:val="0"/>
        <w:autoSpaceDN w:val="0"/>
        <w:adjustRightInd w:val="0"/>
        <w:ind w:left="426"/>
        <w:jc w:val="both"/>
        <w:rPr>
          <w:rFonts w:ascii="Arial" w:hAnsi="Arial"/>
          <w:b/>
          <w:sz w:val="24"/>
          <w:szCs w:val="24"/>
        </w:rPr>
      </w:pPr>
    </w:p>
    <w:p w14:paraId="125C7AFF" w14:textId="77777777" w:rsidR="00E06399" w:rsidRDefault="00E06399" w:rsidP="00F05BEF">
      <w:pPr>
        <w:autoSpaceDE w:val="0"/>
        <w:autoSpaceDN w:val="0"/>
        <w:adjustRightInd w:val="0"/>
        <w:ind w:left="426"/>
        <w:jc w:val="both"/>
        <w:rPr>
          <w:rFonts w:ascii="Arial" w:hAnsi="Arial"/>
          <w:b/>
          <w:sz w:val="24"/>
          <w:szCs w:val="24"/>
        </w:rPr>
      </w:pPr>
    </w:p>
    <w:p w14:paraId="00E749E7" w14:textId="77777777" w:rsidR="00F05BEF" w:rsidRPr="00512EF9" w:rsidRDefault="00F05BEF" w:rsidP="00512EF9">
      <w:pPr>
        <w:widowControl w:val="0"/>
        <w:numPr>
          <w:ilvl w:val="0"/>
          <w:numId w:val="3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ind w:left="567" w:hanging="567"/>
        <w:jc w:val="both"/>
        <w:textAlignment w:val="center"/>
        <w:rPr>
          <w:rFonts w:ascii="Titillium Up" w:hAnsi="Titillium Up" w:cs="Arial"/>
          <w:b/>
          <w:bCs/>
          <w:caps/>
          <w:color w:val="0070C0"/>
          <w:w w:val="94"/>
          <w:sz w:val="28"/>
          <w:szCs w:val="28"/>
        </w:rPr>
      </w:pPr>
      <w:bookmarkStart w:id="15" w:name="_Toc531101121"/>
      <w:bookmarkStart w:id="16" w:name="_Toc373310544"/>
      <w:bookmarkStart w:id="17" w:name="_Toc373313740"/>
      <w:r w:rsidRPr="00512EF9">
        <w:rPr>
          <w:rFonts w:ascii="Titillium Up" w:hAnsi="Titillium Up" w:cs="Arial"/>
          <w:b/>
          <w:bCs/>
          <w:caps/>
          <w:color w:val="0070C0"/>
          <w:w w:val="94"/>
          <w:sz w:val="28"/>
          <w:szCs w:val="28"/>
        </w:rPr>
        <w:t>Validità della garanzia ed estensione territoriale</w:t>
      </w:r>
      <w:bookmarkEnd w:id="15"/>
    </w:p>
    <w:p w14:paraId="440ADE69"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L’assicurazione vale per i sinistri verificatisi e denunciati nel corso di validità del contratto avvenuti in Italia.</w:t>
      </w:r>
    </w:p>
    <w:p w14:paraId="70034486" w14:textId="77777777" w:rsidR="00F05BEF" w:rsidRPr="00E84621" w:rsidRDefault="00F05BEF" w:rsidP="00F05BEF">
      <w:pPr>
        <w:autoSpaceDE w:val="0"/>
        <w:autoSpaceDN w:val="0"/>
        <w:adjustRightInd w:val="0"/>
        <w:ind w:firstLine="709"/>
        <w:jc w:val="both"/>
        <w:rPr>
          <w:rFonts w:ascii="Arial" w:hAnsi="Arial"/>
          <w:sz w:val="24"/>
          <w:szCs w:val="24"/>
        </w:rPr>
      </w:pPr>
    </w:p>
    <w:p w14:paraId="4868C0F0" w14:textId="77777777" w:rsidR="00F05BEF" w:rsidRPr="00512EF9" w:rsidRDefault="00F05BEF" w:rsidP="00512EF9">
      <w:pPr>
        <w:widowControl w:val="0"/>
        <w:numPr>
          <w:ilvl w:val="0"/>
          <w:numId w:val="3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ind w:left="567" w:hanging="567"/>
        <w:jc w:val="both"/>
        <w:textAlignment w:val="center"/>
        <w:rPr>
          <w:rFonts w:ascii="Titillium Up" w:hAnsi="Titillium Up" w:cs="Arial"/>
          <w:b/>
          <w:bCs/>
          <w:caps/>
          <w:color w:val="0070C0"/>
          <w:w w:val="94"/>
          <w:sz w:val="28"/>
          <w:szCs w:val="28"/>
        </w:rPr>
      </w:pPr>
      <w:bookmarkStart w:id="18" w:name="_Toc531101122"/>
      <w:r w:rsidRPr="00512EF9">
        <w:rPr>
          <w:rFonts w:ascii="Titillium Up" w:hAnsi="Titillium Up" w:cs="Arial"/>
          <w:b/>
          <w:bCs/>
          <w:caps/>
          <w:color w:val="0070C0"/>
          <w:w w:val="94"/>
          <w:sz w:val="28"/>
          <w:szCs w:val="28"/>
        </w:rPr>
        <w:t>Spese Legali</w:t>
      </w:r>
      <w:bookmarkEnd w:id="18"/>
      <w:r w:rsidRPr="00512EF9">
        <w:rPr>
          <w:rFonts w:ascii="Titillium Up" w:hAnsi="Titillium Up" w:cs="Arial"/>
          <w:b/>
          <w:bCs/>
          <w:caps/>
          <w:color w:val="0070C0"/>
          <w:w w:val="94"/>
          <w:sz w:val="28"/>
          <w:szCs w:val="28"/>
        </w:rPr>
        <w:t xml:space="preserve"> </w:t>
      </w:r>
    </w:p>
    <w:p w14:paraId="75BEA58E" w14:textId="77777777" w:rsidR="00F05BEF" w:rsidRPr="00804A17" w:rsidRDefault="00F05BEF" w:rsidP="00804A17">
      <w:pPr>
        <w:widowControl w:val="0"/>
        <w:autoSpaceDE w:val="0"/>
        <w:autoSpaceDN w:val="0"/>
        <w:adjustRightInd w:val="0"/>
        <w:ind w:firstLine="1"/>
        <w:jc w:val="both"/>
        <w:textAlignment w:val="center"/>
        <w:rPr>
          <w:rFonts w:ascii="Titillium Up" w:hAnsi="Titillium Up" w:cs="Arial"/>
          <w:color w:val="000000"/>
          <w:sz w:val="24"/>
          <w:szCs w:val="24"/>
        </w:rPr>
      </w:pPr>
      <w:r w:rsidRPr="00804A17">
        <w:rPr>
          <w:rFonts w:ascii="Titillium Up" w:hAnsi="Titillium Up" w:cs="Arial"/>
          <w:color w:val="000000"/>
          <w:sz w:val="24"/>
          <w:szCs w:val="24"/>
        </w:rPr>
        <w:t xml:space="preserve">La Società assume la gestione delle vertenze in sede civile secondo quanto previsto dall’articolo 1917 c.c.; La Società non riconosce spese per legali o tecnici che non siano da essa designati e non risponde di multe o ammende né delle spese di giustizia penale. </w:t>
      </w:r>
    </w:p>
    <w:p w14:paraId="2DE227C8" w14:textId="77777777" w:rsidR="00F05BEF" w:rsidRPr="009D0E8B" w:rsidRDefault="00F05BEF" w:rsidP="00F05BEF">
      <w:pPr>
        <w:autoSpaceDE w:val="0"/>
        <w:autoSpaceDN w:val="0"/>
        <w:adjustRightInd w:val="0"/>
        <w:ind w:left="426"/>
        <w:jc w:val="both"/>
        <w:rPr>
          <w:rFonts w:ascii="Arial" w:hAnsi="Arial"/>
          <w:sz w:val="24"/>
          <w:szCs w:val="24"/>
          <w:highlight w:val="yellow"/>
        </w:rPr>
      </w:pPr>
    </w:p>
    <w:p w14:paraId="581CEC69" w14:textId="77777777" w:rsidR="00F05BEF" w:rsidRPr="00512EF9" w:rsidRDefault="00F05BEF" w:rsidP="00512EF9">
      <w:pPr>
        <w:widowControl w:val="0"/>
        <w:numPr>
          <w:ilvl w:val="0"/>
          <w:numId w:val="3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ind w:left="567" w:hanging="567"/>
        <w:jc w:val="both"/>
        <w:textAlignment w:val="center"/>
        <w:rPr>
          <w:rFonts w:ascii="Titillium Up" w:hAnsi="Titillium Up" w:cs="Arial"/>
          <w:b/>
          <w:bCs/>
          <w:caps/>
          <w:color w:val="0070C0"/>
          <w:w w:val="94"/>
          <w:sz w:val="28"/>
          <w:szCs w:val="28"/>
        </w:rPr>
      </w:pPr>
      <w:bookmarkStart w:id="19" w:name="_Toc531101123"/>
      <w:r w:rsidRPr="00512EF9">
        <w:rPr>
          <w:rFonts w:ascii="Titillium Up" w:hAnsi="Titillium Up" w:cs="Arial"/>
          <w:b/>
          <w:bCs/>
          <w:caps/>
          <w:color w:val="0070C0"/>
          <w:w w:val="94"/>
          <w:sz w:val="28"/>
          <w:szCs w:val="28"/>
        </w:rPr>
        <w:t>Obblighi dell’assicurato in caso di sinistro</w:t>
      </w:r>
      <w:bookmarkEnd w:id="19"/>
    </w:p>
    <w:p w14:paraId="68A6604B" w14:textId="77777777" w:rsidR="00E06399" w:rsidRDefault="00F05BEF" w:rsidP="00F05BEF">
      <w:pPr>
        <w:autoSpaceDE w:val="0"/>
        <w:autoSpaceDN w:val="0"/>
        <w:adjustRightInd w:val="0"/>
        <w:ind w:left="360"/>
        <w:jc w:val="both"/>
        <w:rPr>
          <w:rFonts w:ascii="Titillium Up" w:hAnsi="Titillium Up" w:cs="Arial"/>
          <w:color w:val="000000"/>
          <w:sz w:val="24"/>
          <w:szCs w:val="24"/>
        </w:rPr>
      </w:pPr>
      <w:r w:rsidRPr="00804A17">
        <w:rPr>
          <w:rFonts w:ascii="Titillium Up" w:hAnsi="Titillium Up" w:cs="Arial"/>
          <w:color w:val="000000"/>
          <w:sz w:val="24"/>
          <w:szCs w:val="24"/>
        </w:rPr>
        <w:t xml:space="preserve">In caso di sinistro l’assicurato deve inviare alla società di brokeraggio Aminta s.r.l. la denuncia di ciascun sinistro entro 30 giorni da quello in cui l’Assicurato ha ricevuto la richiesta scritta contenente la motivazione dell’addebito notificato. (Allegato disponibile sul sito </w:t>
      </w:r>
      <w:hyperlink r:id="rId21" w:history="1">
        <w:r w:rsidRPr="00E06399">
          <w:rPr>
            <w:rFonts w:ascii="Titillium Up" w:hAnsi="Titillium Up" w:cs="Arial"/>
            <w:b/>
            <w:bCs/>
            <w:color w:val="000000"/>
            <w:sz w:val="24"/>
            <w:szCs w:val="24"/>
          </w:rPr>
          <w:t>www.amintaunitasindacale.com</w:t>
        </w:r>
      </w:hyperlink>
      <w:r w:rsidRPr="00804A17">
        <w:rPr>
          <w:rFonts w:ascii="Titillium Up" w:hAnsi="Titillium Up" w:cs="Arial"/>
          <w:color w:val="000000"/>
          <w:sz w:val="24"/>
          <w:szCs w:val="24"/>
        </w:rPr>
        <w:t>, “Convenzione UNITA’ SINDACALE” modulo “Denuncia Sinistri”).</w:t>
      </w:r>
    </w:p>
    <w:p w14:paraId="51C90984" w14:textId="77777777" w:rsidR="00E06399" w:rsidRDefault="00F05BEF" w:rsidP="00F05BEF">
      <w:pPr>
        <w:autoSpaceDE w:val="0"/>
        <w:autoSpaceDN w:val="0"/>
        <w:adjustRightInd w:val="0"/>
        <w:ind w:left="360"/>
        <w:jc w:val="both"/>
        <w:rPr>
          <w:rFonts w:ascii="Titillium Up" w:hAnsi="Titillium Up" w:cs="Arial"/>
          <w:color w:val="000000"/>
          <w:sz w:val="24"/>
          <w:szCs w:val="24"/>
        </w:rPr>
      </w:pPr>
      <w:r w:rsidRPr="00804A17">
        <w:rPr>
          <w:rFonts w:ascii="Titillium Up" w:hAnsi="Titillium Up" w:cs="Arial"/>
          <w:color w:val="000000"/>
          <w:sz w:val="24"/>
          <w:szCs w:val="24"/>
        </w:rPr>
        <w:t xml:space="preserve">Dovrà inoltre essere inviata la dichiarazione in originale su carta intestata dell’Azienda di appartenenza, sottoscritta da un responsabile, che confermi la mancanza di cassa e l’avvenuta refusione dell’assicurato, con la copia della nota dell’addebito interno operata dall’Istituto di Credito nei confronti del dipendente.  Inviare la documentazione cartacea </w:t>
      </w:r>
      <w:r w:rsidRPr="00804A17">
        <w:rPr>
          <w:rFonts w:ascii="Titillium Up" w:hAnsi="Titillium Up" w:cs="Arial"/>
          <w:color w:val="000000"/>
          <w:sz w:val="24"/>
          <w:szCs w:val="24"/>
          <w:u w:val="single"/>
        </w:rPr>
        <w:t>in originale</w:t>
      </w:r>
      <w:r w:rsidRPr="00804A17">
        <w:rPr>
          <w:rFonts w:ascii="Titillium Up" w:hAnsi="Titillium Up" w:cs="Arial"/>
          <w:color w:val="000000"/>
          <w:sz w:val="24"/>
          <w:szCs w:val="24"/>
        </w:rPr>
        <w:t xml:space="preserve"> a: </w:t>
      </w:r>
    </w:p>
    <w:p w14:paraId="287EF8DA" w14:textId="77777777" w:rsidR="00E06399" w:rsidRDefault="00F05BEF" w:rsidP="00F05BEF">
      <w:pPr>
        <w:autoSpaceDE w:val="0"/>
        <w:autoSpaceDN w:val="0"/>
        <w:adjustRightInd w:val="0"/>
        <w:ind w:left="360"/>
        <w:jc w:val="both"/>
        <w:rPr>
          <w:rFonts w:ascii="Titillium Up" w:hAnsi="Titillium Up" w:cs="Arial"/>
          <w:color w:val="000000"/>
          <w:sz w:val="24"/>
          <w:szCs w:val="24"/>
        </w:rPr>
      </w:pPr>
      <w:r w:rsidRPr="00E06399">
        <w:rPr>
          <w:rFonts w:ascii="Titillium Up" w:hAnsi="Titillium Up" w:cs="Arial"/>
          <w:b/>
          <w:bCs/>
          <w:color w:val="000000"/>
          <w:sz w:val="24"/>
          <w:szCs w:val="24"/>
        </w:rPr>
        <w:t>Aminta S.r.l. Corso Correnti 58/A 10136 Torino</w:t>
      </w:r>
      <w:r w:rsidRPr="00804A17">
        <w:rPr>
          <w:rFonts w:ascii="Titillium Up" w:hAnsi="Titillium Up" w:cs="Arial"/>
          <w:color w:val="000000"/>
          <w:sz w:val="24"/>
          <w:szCs w:val="24"/>
        </w:rPr>
        <w:t xml:space="preserve"> indicando sulla busta “Convenzione UNITA’ SINDACALE“. La Società assicuratrice, una volta terminata la parte di accertamento del sinistro, mette a disposizione dell’Assicurato l’importo da lui pagato all’Istituto di Credito di appartenenza, come da dichiarazione scritta rilasciata dall’Istituto stesso, entro il limite del massimale convenuto, dedotte la franchigia e gli scoperti previsti in polizza. </w:t>
      </w:r>
    </w:p>
    <w:p w14:paraId="2A1D8C41" w14:textId="77777777" w:rsidR="00E06399" w:rsidRDefault="00F05BEF" w:rsidP="00F05BEF">
      <w:pPr>
        <w:autoSpaceDE w:val="0"/>
        <w:autoSpaceDN w:val="0"/>
        <w:adjustRightInd w:val="0"/>
        <w:ind w:left="360"/>
        <w:jc w:val="both"/>
        <w:rPr>
          <w:rFonts w:ascii="Titillium Up" w:hAnsi="Titillium Up" w:cs="Arial"/>
          <w:color w:val="000000"/>
          <w:sz w:val="24"/>
          <w:szCs w:val="24"/>
        </w:rPr>
      </w:pPr>
      <w:r w:rsidRPr="00804A17">
        <w:rPr>
          <w:rFonts w:ascii="Titillium Up" w:hAnsi="Titillium Up" w:cs="Arial"/>
          <w:color w:val="000000"/>
          <w:sz w:val="24"/>
          <w:szCs w:val="24"/>
        </w:rPr>
        <w:t xml:space="preserve">Il pagamento del sinistro sarà effettuato tramite bonifico bancario, con emissione di specifica quietanza. Con la riscossione dello stesso da parte dell’Assicurato, </w:t>
      </w:r>
      <w:smartTag w:uri="urn:schemas-microsoft-com:office:smarttags" w:element="PersonName">
        <w:smartTagPr>
          <w:attr w:name="ProductID" w:val="La Societ￠"/>
        </w:smartTagPr>
        <w:r w:rsidRPr="00804A17">
          <w:rPr>
            <w:rFonts w:ascii="Titillium Up" w:hAnsi="Titillium Up" w:cs="Arial"/>
            <w:color w:val="000000"/>
            <w:sz w:val="24"/>
            <w:szCs w:val="24"/>
          </w:rPr>
          <w:t>la Società</w:t>
        </w:r>
      </w:smartTag>
      <w:r w:rsidRPr="00804A17">
        <w:rPr>
          <w:rFonts w:ascii="Titillium Up" w:hAnsi="Titillium Up" w:cs="Arial"/>
          <w:color w:val="000000"/>
          <w:sz w:val="24"/>
          <w:szCs w:val="24"/>
        </w:rPr>
        <w:t xml:space="preserve"> esaurisce ogni suo obbligo in dipendenza del sinistro stesso. </w:t>
      </w:r>
    </w:p>
    <w:p w14:paraId="4A9A50E9" w14:textId="77777777" w:rsidR="00E06399" w:rsidRDefault="00F05BEF" w:rsidP="00F05BEF">
      <w:pPr>
        <w:autoSpaceDE w:val="0"/>
        <w:autoSpaceDN w:val="0"/>
        <w:adjustRightInd w:val="0"/>
        <w:ind w:left="360"/>
        <w:jc w:val="both"/>
        <w:rPr>
          <w:rFonts w:ascii="Titillium Up" w:hAnsi="Titillium Up" w:cs="Arial"/>
          <w:color w:val="000000"/>
          <w:sz w:val="24"/>
          <w:szCs w:val="24"/>
        </w:rPr>
      </w:pPr>
      <w:r w:rsidRPr="00804A17">
        <w:rPr>
          <w:rFonts w:ascii="Titillium Up" w:hAnsi="Titillium Up" w:cs="Arial"/>
          <w:color w:val="000000"/>
          <w:sz w:val="24"/>
          <w:szCs w:val="24"/>
        </w:rPr>
        <w:t xml:space="preserve">Nel solo caso di terzi responsabili, il pagamento del sinistro avverrà dopo che l’Istituto di Credito stesso abbia esperito un procedimento esecutivo contro il terzo responsabile. </w:t>
      </w:r>
    </w:p>
    <w:p w14:paraId="1D1ED66F" w14:textId="77777777" w:rsidR="00E06399" w:rsidRDefault="00F05BEF" w:rsidP="00F05BEF">
      <w:pPr>
        <w:autoSpaceDE w:val="0"/>
        <w:autoSpaceDN w:val="0"/>
        <w:adjustRightInd w:val="0"/>
        <w:ind w:left="360"/>
        <w:jc w:val="both"/>
        <w:rPr>
          <w:rFonts w:ascii="Titillium Up" w:hAnsi="Titillium Up" w:cs="Arial"/>
          <w:color w:val="000000"/>
          <w:sz w:val="24"/>
          <w:szCs w:val="24"/>
        </w:rPr>
      </w:pPr>
      <w:r w:rsidRPr="00804A17">
        <w:rPr>
          <w:rFonts w:ascii="Titillium Up" w:hAnsi="Titillium Up" w:cs="Arial"/>
          <w:color w:val="000000"/>
          <w:sz w:val="24"/>
          <w:szCs w:val="24"/>
        </w:rPr>
        <w:t xml:space="preserve">Nel caso di opposizione di questo ultimo, il pagamento avverrà dopo il passaggio in giudicato della sentenza che riconosce totalmente, o parzialmente, infondata l’opposizione stessa. </w:t>
      </w:r>
    </w:p>
    <w:p w14:paraId="4315275B" w14:textId="77777777" w:rsidR="00F05BEF" w:rsidRPr="00804A17" w:rsidRDefault="00F05BEF" w:rsidP="00F05BEF">
      <w:pPr>
        <w:autoSpaceDE w:val="0"/>
        <w:autoSpaceDN w:val="0"/>
        <w:adjustRightInd w:val="0"/>
        <w:ind w:left="360"/>
        <w:jc w:val="both"/>
        <w:rPr>
          <w:rFonts w:ascii="Titillium Up" w:hAnsi="Titillium Up" w:cs="Arial"/>
          <w:color w:val="000000"/>
          <w:sz w:val="24"/>
          <w:szCs w:val="24"/>
          <w:u w:val="single"/>
        </w:rPr>
      </w:pPr>
      <w:r w:rsidRPr="00804A17">
        <w:rPr>
          <w:rFonts w:ascii="Titillium Up" w:hAnsi="Titillium Up" w:cs="Arial"/>
          <w:color w:val="000000"/>
          <w:sz w:val="24"/>
          <w:szCs w:val="24"/>
        </w:rPr>
        <w:t xml:space="preserve">La Società, prima del pagamento del sinistro, ha facoltà di chiedere il rapporto ispettivo redatto dall’Istituto di Credito in caso di ammanco e/o di raccogliere tutte le informazioni ritenute necessarie. </w:t>
      </w:r>
      <w:r w:rsidRPr="00804A17">
        <w:rPr>
          <w:rFonts w:ascii="Titillium Up" w:hAnsi="Titillium Up" w:cs="Arial"/>
          <w:color w:val="000000"/>
          <w:sz w:val="24"/>
          <w:szCs w:val="24"/>
          <w:u w:val="single"/>
        </w:rPr>
        <w:t xml:space="preserve">Per differenze di cassa superiori a € 1.000,00 è obbligatorio indicare i presunti motivi che hanno determinato l’ammanco compilando il modulo che verrà inviato all’assicurato. </w:t>
      </w:r>
    </w:p>
    <w:p w14:paraId="1D93AF65" w14:textId="77777777" w:rsidR="00F05BEF" w:rsidRPr="00804A17" w:rsidRDefault="00F05BEF" w:rsidP="00804A17">
      <w:pPr>
        <w:autoSpaceDE w:val="0"/>
        <w:autoSpaceDN w:val="0"/>
        <w:adjustRightInd w:val="0"/>
        <w:ind w:left="360"/>
        <w:jc w:val="both"/>
        <w:rPr>
          <w:rFonts w:ascii="Titillium Up" w:hAnsi="Titillium Up" w:cs="Arial"/>
          <w:color w:val="000000"/>
          <w:sz w:val="24"/>
          <w:szCs w:val="24"/>
        </w:rPr>
      </w:pPr>
      <w:r w:rsidRPr="00804A17">
        <w:rPr>
          <w:rFonts w:ascii="Titillium Up" w:hAnsi="Titillium Up" w:cs="Arial"/>
          <w:color w:val="000000"/>
          <w:sz w:val="24"/>
          <w:szCs w:val="24"/>
        </w:rPr>
        <w:t>L’inosservanza degli obblighi suddetti, qualora operata con dolo o connivenza coi danneggiati, è causa di reiezione della richiesta di indennizzo e di inapplicabilità del disposto contrattuale; negli altri casi comporta la riduzione dell’indennizzo in ragione del pregiudizio sofferto dalla Compagnia.</w:t>
      </w:r>
    </w:p>
    <w:p w14:paraId="45BC674B" w14:textId="77777777" w:rsidR="00F05BEF" w:rsidRPr="00804A17" w:rsidRDefault="00F05BEF" w:rsidP="00804A17">
      <w:pPr>
        <w:autoSpaceDE w:val="0"/>
        <w:autoSpaceDN w:val="0"/>
        <w:adjustRightInd w:val="0"/>
        <w:ind w:left="360"/>
        <w:jc w:val="both"/>
        <w:rPr>
          <w:rFonts w:ascii="Titillium Up" w:hAnsi="Titillium Up" w:cs="Arial"/>
          <w:color w:val="000000"/>
          <w:sz w:val="24"/>
          <w:szCs w:val="24"/>
        </w:rPr>
      </w:pPr>
      <w:r w:rsidRPr="00804A17">
        <w:rPr>
          <w:rFonts w:ascii="Titillium Up" w:hAnsi="Titillium Up" w:cs="Arial"/>
          <w:color w:val="000000"/>
          <w:sz w:val="24"/>
          <w:szCs w:val="24"/>
        </w:rPr>
        <w:t>Più in generale, l'Assicurato che esagera dolosamente l'ammontare del danno, dichiara fatti o circostanze non rispondenti al vero, produce documenti falsi, occulta prove, ovvero promuove o facilita le pretese di terzi, perde il diritto ad ogni indennizzo.</w:t>
      </w:r>
    </w:p>
    <w:p w14:paraId="67D38B86" w14:textId="77777777" w:rsidR="002A742E" w:rsidRDefault="002A742E" w:rsidP="00F05BEF">
      <w:pPr>
        <w:ind w:left="360"/>
        <w:jc w:val="both"/>
        <w:rPr>
          <w:rFonts w:ascii="Arial" w:hAnsi="Arial"/>
          <w:sz w:val="24"/>
          <w:szCs w:val="24"/>
        </w:rPr>
      </w:pPr>
    </w:p>
    <w:p w14:paraId="399C875F" w14:textId="77777777" w:rsidR="002A742E" w:rsidRDefault="002A742E" w:rsidP="00F05BEF">
      <w:pPr>
        <w:ind w:left="360"/>
        <w:jc w:val="both"/>
        <w:rPr>
          <w:rFonts w:ascii="Arial" w:hAnsi="Arial"/>
          <w:sz w:val="24"/>
          <w:szCs w:val="24"/>
        </w:rPr>
      </w:pPr>
    </w:p>
    <w:p w14:paraId="45020C5F" w14:textId="77777777" w:rsidR="00E06399" w:rsidRPr="009857C8" w:rsidRDefault="00E06399" w:rsidP="00E06399">
      <w:pPr>
        <w:pStyle w:val="Paragrafoelenco"/>
        <w:widowControl w:val="0"/>
        <w:numPr>
          <w:ilvl w:val="0"/>
          <w:numId w:val="33"/>
        </w:numPr>
        <w:suppressAutoHyphens/>
        <w:autoSpaceDE w:val="0"/>
        <w:autoSpaceDN w:val="0"/>
        <w:adjustRightInd w:val="0"/>
        <w:spacing w:after="0" w:line="240" w:lineRule="auto"/>
        <w:ind w:left="284"/>
        <w:jc w:val="both"/>
        <w:textAlignment w:val="center"/>
        <w:rPr>
          <w:rFonts w:ascii="Titillium Up" w:eastAsia="Times New Roman" w:hAnsi="Titillium Up" w:cs="Arial"/>
          <w:b/>
          <w:color w:val="0070C0"/>
          <w:sz w:val="34"/>
          <w:szCs w:val="34"/>
          <w:u w:val="single"/>
          <w:lang w:eastAsia="it-IT"/>
        </w:rPr>
      </w:pPr>
      <w:r w:rsidRPr="009857C8">
        <w:rPr>
          <w:rFonts w:ascii="Titillium Up" w:eastAsia="Times New Roman" w:hAnsi="Titillium Up" w:cs="Arial"/>
          <w:b/>
          <w:color w:val="0070C0"/>
          <w:sz w:val="34"/>
          <w:szCs w:val="34"/>
          <w:u w:val="single"/>
          <w:lang w:eastAsia="it-IT"/>
        </w:rPr>
        <w:t xml:space="preserve">R.C. </w:t>
      </w:r>
      <w:r>
        <w:rPr>
          <w:rFonts w:ascii="Titillium Up" w:eastAsia="Times New Roman" w:hAnsi="Titillium Up" w:cs="Arial"/>
          <w:b/>
          <w:color w:val="0070C0"/>
          <w:sz w:val="34"/>
          <w:szCs w:val="34"/>
          <w:u w:val="single"/>
          <w:lang w:eastAsia="it-IT"/>
        </w:rPr>
        <w:t>PROFESSIONALE</w:t>
      </w:r>
    </w:p>
    <w:p w14:paraId="7AA16F93" w14:textId="77777777" w:rsidR="00E06399" w:rsidRPr="00C1566B" w:rsidRDefault="00E06399" w:rsidP="00C1566B">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20" w:name="_Toc373310545"/>
      <w:bookmarkStart w:id="21" w:name="_Toc373313741"/>
      <w:bookmarkStart w:id="22" w:name="_Toc24964306"/>
      <w:r w:rsidRPr="00C1566B">
        <w:rPr>
          <w:rFonts w:ascii="Titillium Up" w:hAnsi="Titillium Up" w:cs="Arial"/>
          <w:b/>
          <w:bCs/>
          <w:caps/>
          <w:color w:val="0070C0"/>
          <w:w w:val="94"/>
          <w:sz w:val="28"/>
          <w:szCs w:val="28"/>
        </w:rPr>
        <w:t>3.1  Oggetto dell’assicurazione</w:t>
      </w:r>
      <w:bookmarkEnd w:id="20"/>
      <w:bookmarkEnd w:id="21"/>
      <w:bookmarkEnd w:id="22"/>
    </w:p>
    <w:p w14:paraId="1E425D28" w14:textId="77777777" w:rsidR="00E06399" w:rsidRPr="00C1566B" w:rsidRDefault="00E06399" w:rsidP="00E06399">
      <w:pPr>
        <w:autoSpaceDE w:val="0"/>
        <w:autoSpaceDN w:val="0"/>
        <w:adjustRightInd w:val="0"/>
        <w:ind w:left="426"/>
        <w:jc w:val="both"/>
        <w:rPr>
          <w:rFonts w:ascii="Titillium Up" w:hAnsi="Titillium Up"/>
          <w:sz w:val="24"/>
          <w:szCs w:val="24"/>
        </w:rPr>
      </w:pPr>
      <w:r w:rsidRPr="00C1566B">
        <w:rPr>
          <w:rFonts w:ascii="Titillium Up" w:hAnsi="Titillium Up"/>
          <w:sz w:val="24"/>
          <w:szCs w:val="24"/>
        </w:rPr>
        <w:lastRenderedPageBreak/>
        <w:t xml:space="preserve">La Società si obbliga a tenere indenni gli Assicurati ( impiegati, quadri direttivi, dirigenti iscritti alla FALCRI-SILCEA-SINFUB ) di quanto questi siano tenuti a pagare quali civilmente responsabili, ai sensi di Legge, di perdite patrimoniali cagionate a terzi, compreso l’Istituto di Credito di appartenenza, a seguito di errori professionali involontariamente commessi nell’espletamento e nell’adempimento di compiti d’ufficio o di incarichi svolti, </w:t>
      </w:r>
      <w:r w:rsidRPr="00C1566B">
        <w:rPr>
          <w:rFonts w:ascii="Titillium Up" w:hAnsi="Titillium Up"/>
          <w:sz w:val="24"/>
          <w:szCs w:val="24"/>
          <w:u w:val="single"/>
        </w:rPr>
        <w:t>anche al di fuori della sede</w:t>
      </w:r>
      <w:r w:rsidRPr="00C1566B">
        <w:rPr>
          <w:rFonts w:ascii="Titillium Up" w:hAnsi="Titillium Up"/>
          <w:sz w:val="24"/>
          <w:szCs w:val="24"/>
        </w:rPr>
        <w:t>, nella loro qualità di dipendenti, in funzione della mansione assegnata.</w:t>
      </w:r>
    </w:p>
    <w:p w14:paraId="72FC79A8" w14:textId="77777777" w:rsidR="00E06399" w:rsidRPr="00C1566B" w:rsidRDefault="00E06399" w:rsidP="00E06399">
      <w:pPr>
        <w:autoSpaceDE w:val="0"/>
        <w:autoSpaceDN w:val="0"/>
        <w:adjustRightInd w:val="0"/>
        <w:ind w:left="426"/>
        <w:jc w:val="both"/>
        <w:rPr>
          <w:rFonts w:ascii="Titillium Up" w:hAnsi="Titillium Up"/>
          <w:color w:val="000000"/>
          <w:sz w:val="24"/>
          <w:szCs w:val="24"/>
        </w:rPr>
      </w:pPr>
      <w:r w:rsidRPr="00C1566B">
        <w:rPr>
          <w:rFonts w:ascii="Titillium Up" w:hAnsi="Titillium Up"/>
          <w:color w:val="000000"/>
          <w:sz w:val="24"/>
          <w:szCs w:val="24"/>
          <w:u w:val="single"/>
        </w:rPr>
        <w:t>La garanzia copre unicamente i casi di colpa grave</w:t>
      </w:r>
      <w:r w:rsidRPr="00C1566B">
        <w:rPr>
          <w:rFonts w:ascii="Titillium Up" w:hAnsi="Titillium Up"/>
          <w:color w:val="000000"/>
          <w:sz w:val="24"/>
          <w:szCs w:val="24"/>
        </w:rPr>
        <w:t xml:space="preserve"> (art. 5 della Legge n°190 del 1985) e opera quando l’Istituto di Credito, </w:t>
      </w:r>
      <w:r w:rsidRPr="00C1566B">
        <w:rPr>
          <w:rFonts w:ascii="Titillium Up" w:hAnsi="Titillium Up"/>
          <w:color w:val="000000"/>
          <w:sz w:val="24"/>
          <w:szCs w:val="24"/>
          <w:u w:val="single"/>
        </w:rPr>
        <w:t>dopo aver risarcito il danno a terzi, agisca in rivalsa nei confronti del dipendente</w:t>
      </w:r>
      <w:r w:rsidRPr="00C1566B">
        <w:rPr>
          <w:rFonts w:ascii="Titillium Up" w:hAnsi="Titillium Up"/>
          <w:color w:val="000000"/>
          <w:sz w:val="24"/>
          <w:szCs w:val="24"/>
        </w:rPr>
        <w:t>. La garanzia si deve intendere operante anche nei casi in cui l’Istituto di Credito, dopo aver comunque agito formalmente l’azione di rivalsa nei confronti del dipendente per presunta Colpa grave, decida di transare il danno senza andare in giudizio, fermo il fatto che l’importo di tale transazione dovrà essere preventivamente espressamente autorizzato dalla Compagnia.</w:t>
      </w:r>
    </w:p>
    <w:p w14:paraId="5AD40FBA" w14:textId="77777777" w:rsidR="00E06399" w:rsidRPr="00C1566B" w:rsidRDefault="00E06399" w:rsidP="00E06399">
      <w:pPr>
        <w:autoSpaceDE w:val="0"/>
        <w:autoSpaceDN w:val="0"/>
        <w:adjustRightInd w:val="0"/>
        <w:ind w:left="426"/>
        <w:jc w:val="both"/>
        <w:rPr>
          <w:rFonts w:ascii="Titillium Up" w:hAnsi="Titillium Up"/>
          <w:sz w:val="24"/>
          <w:szCs w:val="24"/>
        </w:rPr>
      </w:pPr>
      <w:r w:rsidRPr="00C1566B">
        <w:rPr>
          <w:rFonts w:ascii="Titillium Up" w:hAnsi="Titillium Up"/>
          <w:sz w:val="24"/>
          <w:szCs w:val="24"/>
        </w:rPr>
        <w:t>La Società si obbliga anche a tenere indenni gli Assicurati di quanto questi siano tenuti a pagare quali civilmente responsabili, ai sensi di Legge, di danni involontariamente cagionati a terzi, in conseguenza di fatti accidentali personalmente causati durante lo svolgimento dell’attività di conduzione dei locali e delle attrezzature e/o impianti in uso agli Assicurati.</w:t>
      </w:r>
    </w:p>
    <w:p w14:paraId="146C296A" w14:textId="77777777" w:rsidR="00E06399" w:rsidRPr="00C1566B" w:rsidRDefault="00E06399" w:rsidP="00E06399">
      <w:pPr>
        <w:autoSpaceDE w:val="0"/>
        <w:autoSpaceDN w:val="0"/>
        <w:adjustRightInd w:val="0"/>
        <w:ind w:left="426"/>
        <w:jc w:val="both"/>
        <w:rPr>
          <w:rFonts w:ascii="Titillium Up" w:hAnsi="Titillium Up"/>
          <w:sz w:val="24"/>
          <w:szCs w:val="24"/>
        </w:rPr>
      </w:pPr>
    </w:p>
    <w:p w14:paraId="147D8EFE" w14:textId="77777777" w:rsidR="00E06399" w:rsidRPr="00C1566B" w:rsidRDefault="00E06399" w:rsidP="00E06399">
      <w:pPr>
        <w:autoSpaceDE w:val="0"/>
        <w:autoSpaceDN w:val="0"/>
        <w:adjustRightInd w:val="0"/>
        <w:ind w:left="426"/>
        <w:jc w:val="both"/>
        <w:rPr>
          <w:rFonts w:ascii="Titillium Up" w:hAnsi="Titillium Up"/>
          <w:b/>
          <w:sz w:val="24"/>
          <w:szCs w:val="24"/>
        </w:rPr>
      </w:pPr>
      <w:r w:rsidRPr="00C1566B">
        <w:rPr>
          <w:rFonts w:ascii="Titillium Up" w:hAnsi="Titillium Up"/>
          <w:b/>
          <w:sz w:val="24"/>
          <w:szCs w:val="24"/>
        </w:rPr>
        <w:t>A titolo esemplificativo e non limitativo, la garanzia comprende:</w:t>
      </w:r>
    </w:p>
    <w:p w14:paraId="2FE364B1" w14:textId="77777777" w:rsidR="00E06399" w:rsidRPr="00C1566B" w:rsidRDefault="00E06399" w:rsidP="00C1566B">
      <w:pPr>
        <w:numPr>
          <w:ilvl w:val="0"/>
          <w:numId w:val="47"/>
        </w:numPr>
        <w:autoSpaceDE w:val="0"/>
        <w:autoSpaceDN w:val="0"/>
        <w:adjustRightInd w:val="0"/>
        <w:ind w:left="993" w:hanging="502"/>
        <w:jc w:val="both"/>
        <w:rPr>
          <w:rFonts w:ascii="Titillium Up" w:hAnsi="Titillium Up"/>
          <w:b/>
          <w:sz w:val="24"/>
          <w:szCs w:val="24"/>
        </w:rPr>
      </w:pPr>
      <w:r w:rsidRPr="00C1566B">
        <w:rPr>
          <w:rFonts w:ascii="Titillium Up" w:hAnsi="Titillium Up"/>
          <w:b/>
          <w:sz w:val="24"/>
          <w:szCs w:val="24"/>
        </w:rPr>
        <w:t>i danni avvenuti in conseguenza di errori commessi nelle operazioni di tesoreria</w:t>
      </w:r>
      <w:r w:rsidR="00C1566B">
        <w:rPr>
          <w:rFonts w:ascii="Titillium Up" w:hAnsi="Titillium Up"/>
          <w:b/>
          <w:sz w:val="24"/>
          <w:szCs w:val="24"/>
        </w:rPr>
        <w:t>;</w:t>
      </w:r>
    </w:p>
    <w:p w14:paraId="419A998A" w14:textId="77777777" w:rsidR="00E06399" w:rsidRPr="00C1566B" w:rsidRDefault="00E06399" w:rsidP="00C1566B">
      <w:pPr>
        <w:numPr>
          <w:ilvl w:val="0"/>
          <w:numId w:val="47"/>
        </w:numPr>
        <w:autoSpaceDE w:val="0"/>
        <w:autoSpaceDN w:val="0"/>
        <w:adjustRightInd w:val="0"/>
        <w:ind w:left="993" w:hanging="502"/>
        <w:jc w:val="both"/>
        <w:rPr>
          <w:rFonts w:ascii="Titillium Up" w:hAnsi="Titillium Up"/>
          <w:b/>
          <w:sz w:val="24"/>
          <w:szCs w:val="24"/>
        </w:rPr>
      </w:pPr>
      <w:r w:rsidRPr="00C1566B">
        <w:rPr>
          <w:rFonts w:ascii="Titillium Up" w:hAnsi="Titillium Up"/>
          <w:b/>
          <w:sz w:val="24"/>
          <w:szCs w:val="24"/>
        </w:rPr>
        <w:t>le operazioni con l’estero e le operazioni di cambio</w:t>
      </w:r>
      <w:r w:rsidR="00C1566B">
        <w:rPr>
          <w:rFonts w:ascii="Titillium Up" w:hAnsi="Titillium Up"/>
          <w:b/>
          <w:sz w:val="24"/>
          <w:szCs w:val="24"/>
        </w:rPr>
        <w:t>;</w:t>
      </w:r>
    </w:p>
    <w:p w14:paraId="630128A9" w14:textId="77777777" w:rsidR="00E06399" w:rsidRPr="00C1566B" w:rsidRDefault="00E06399" w:rsidP="00C1566B">
      <w:pPr>
        <w:numPr>
          <w:ilvl w:val="0"/>
          <w:numId w:val="47"/>
        </w:numPr>
        <w:autoSpaceDE w:val="0"/>
        <w:autoSpaceDN w:val="0"/>
        <w:adjustRightInd w:val="0"/>
        <w:ind w:left="709" w:hanging="218"/>
        <w:jc w:val="both"/>
        <w:rPr>
          <w:rFonts w:ascii="Titillium Up" w:hAnsi="Titillium Up"/>
          <w:b/>
          <w:sz w:val="24"/>
          <w:szCs w:val="24"/>
        </w:rPr>
      </w:pPr>
      <w:r w:rsidRPr="00C1566B">
        <w:rPr>
          <w:rFonts w:ascii="Titillium Up" w:hAnsi="Titillium Up"/>
          <w:b/>
          <w:sz w:val="24"/>
          <w:szCs w:val="24"/>
        </w:rPr>
        <w:t>le operazioni di bonifico, i ritardati pagamenti di utenze e tributi ed altre imposte, gli errori di</w:t>
      </w:r>
      <w:r w:rsidR="00C1566B">
        <w:rPr>
          <w:rFonts w:ascii="Titillium Up" w:hAnsi="Titillium Up"/>
          <w:b/>
          <w:sz w:val="24"/>
          <w:szCs w:val="24"/>
        </w:rPr>
        <w:t xml:space="preserve"> </w:t>
      </w:r>
      <w:r w:rsidRPr="00C1566B">
        <w:rPr>
          <w:rFonts w:ascii="Titillium Up" w:hAnsi="Titillium Up"/>
          <w:b/>
          <w:sz w:val="24"/>
          <w:szCs w:val="24"/>
        </w:rPr>
        <w:t>pagamento di titoli trafugati (assegni, travel-cheques, euro-cheques),  taglio cedole, il ritardato incasso di certificati di deposito, i mancati richiami o proroghe di assegni ed effetti cambiari, il ritardo degli storni e segnalazioni di non pagato di assegni</w:t>
      </w:r>
      <w:r w:rsidR="00C1566B">
        <w:rPr>
          <w:rFonts w:ascii="Titillium Up" w:hAnsi="Titillium Up"/>
          <w:b/>
          <w:sz w:val="24"/>
          <w:szCs w:val="24"/>
        </w:rPr>
        <w:t>;</w:t>
      </w:r>
    </w:p>
    <w:p w14:paraId="3E81B9F4" w14:textId="77777777" w:rsidR="00E06399" w:rsidRPr="00C1566B" w:rsidRDefault="00E06399" w:rsidP="00C1566B">
      <w:pPr>
        <w:numPr>
          <w:ilvl w:val="0"/>
          <w:numId w:val="47"/>
        </w:numPr>
        <w:autoSpaceDE w:val="0"/>
        <w:autoSpaceDN w:val="0"/>
        <w:adjustRightInd w:val="0"/>
        <w:ind w:left="993" w:hanging="502"/>
        <w:jc w:val="both"/>
        <w:rPr>
          <w:rFonts w:ascii="Titillium Up" w:hAnsi="Titillium Up"/>
          <w:b/>
          <w:sz w:val="24"/>
          <w:szCs w:val="24"/>
        </w:rPr>
      </w:pPr>
      <w:r w:rsidRPr="00C1566B">
        <w:rPr>
          <w:rFonts w:ascii="Titillium Up" w:hAnsi="Titillium Up"/>
          <w:b/>
          <w:sz w:val="24"/>
          <w:szCs w:val="24"/>
        </w:rPr>
        <w:t>la negoziazione di titoli, compravendita di titoli azionari, gestione patrimoni immobiliari</w:t>
      </w:r>
      <w:r w:rsidR="00C1566B">
        <w:rPr>
          <w:rFonts w:ascii="Titillium Up" w:hAnsi="Titillium Up"/>
          <w:b/>
          <w:sz w:val="24"/>
          <w:szCs w:val="24"/>
        </w:rPr>
        <w:t>;</w:t>
      </w:r>
    </w:p>
    <w:p w14:paraId="11C7A853" w14:textId="77777777" w:rsidR="00E06399" w:rsidRPr="00C1566B" w:rsidRDefault="00C1566B" w:rsidP="00C1566B">
      <w:pPr>
        <w:numPr>
          <w:ilvl w:val="0"/>
          <w:numId w:val="47"/>
        </w:numPr>
        <w:suppressAutoHyphens/>
        <w:autoSpaceDE w:val="0"/>
        <w:ind w:left="709" w:hanging="218"/>
        <w:jc w:val="both"/>
        <w:rPr>
          <w:rFonts w:ascii="Titillium Up" w:hAnsi="Titillium Up"/>
          <w:b/>
          <w:sz w:val="24"/>
          <w:szCs w:val="24"/>
        </w:rPr>
      </w:pPr>
      <w:r>
        <w:rPr>
          <w:rFonts w:ascii="Titillium Up" w:hAnsi="Titillium Up"/>
          <w:b/>
          <w:sz w:val="24"/>
          <w:szCs w:val="24"/>
        </w:rPr>
        <w:t>l</w:t>
      </w:r>
      <w:r w:rsidR="00E06399" w:rsidRPr="00C1566B">
        <w:rPr>
          <w:rFonts w:ascii="Titillium Up" w:hAnsi="Titillium Up"/>
          <w:b/>
          <w:sz w:val="24"/>
          <w:szCs w:val="24"/>
        </w:rPr>
        <w:t xml:space="preserve">e sanzioni per violazione di segnalazione banconote false  e negoziazione di assegni sprovvisti della clausola “Non trasferibili” (Art. 2 comma 152 </w:t>
      </w:r>
      <w:proofErr w:type="spellStart"/>
      <w:r w:rsidR="00E06399" w:rsidRPr="00C1566B">
        <w:rPr>
          <w:rFonts w:ascii="Titillium Up" w:hAnsi="Titillium Up"/>
          <w:b/>
          <w:sz w:val="24"/>
          <w:szCs w:val="24"/>
        </w:rPr>
        <w:t>D.l.</w:t>
      </w:r>
      <w:proofErr w:type="spellEnd"/>
      <w:r w:rsidR="00E06399" w:rsidRPr="00C1566B">
        <w:rPr>
          <w:rFonts w:ascii="Titillium Up" w:hAnsi="Titillium Up"/>
          <w:b/>
          <w:sz w:val="24"/>
          <w:szCs w:val="24"/>
        </w:rPr>
        <w:t xml:space="preserve"> 262/2006 e Art. 5 del D.M. 28 aprile 2016 del Ministero dell’Economia e delle Finanze) nel caso di azione di rivalsa da parte dell’Istituto di credito nei confronti dell’assicurato fino ad un massimale di € 2.000,00 per sinistro ed anno assicurativo</w:t>
      </w:r>
      <w:r>
        <w:rPr>
          <w:rFonts w:ascii="Titillium Up" w:hAnsi="Titillium Up"/>
          <w:b/>
          <w:sz w:val="24"/>
          <w:szCs w:val="24"/>
        </w:rPr>
        <w:t>;</w:t>
      </w:r>
    </w:p>
    <w:p w14:paraId="33913419" w14:textId="77777777" w:rsidR="00E06399" w:rsidRPr="00C1566B" w:rsidRDefault="00E06399" w:rsidP="00C1566B">
      <w:pPr>
        <w:numPr>
          <w:ilvl w:val="0"/>
          <w:numId w:val="47"/>
        </w:numPr>
        <w:ind w:left="709" w:hanging="218"/>
        <w:rPr>
          <w:rFonts w:ascii="Titillium Up" w:hAnsi="Titillium Up"/>
          <w:b/>
          <w:sz w:val="24"/>
          <w:szCs w:val="24"/>
        </w:rPr>
      </w:pPr>
      <w:r w:rsidRPr="00C1566B">
        <w:rPr>
          <w:rFonts w:ascii="Titillium Up" w:hAnsi="Titillium Up"/>
          <w:b/>
          <w:sz w:val="24"/>
          <w:szCs w:val="24"/>
        </w:rPr>
        <w:t>errori formali e/o documentali nella stipula di assicurazioni in conformità al regolamento IVASS n.40 del 02/08/2018 e loro successive modifiche e/o integrazioni. Tale estensione è valida qualora il dipendente sia in regola con la formazione/aggiornamento professionale prevista dalle leggi e regolamenti</w:t>
      </w:r>
      <w:r w:rsidR="00C1566B">
        <w:rPr>
          <w:rFonts w:ascii="Titillium Up" w:hAnsi="Titillium Up"/>
          <w:b/>
          <w:sz w:val="24"/>
          <w:szCs w:val="24"/>
        </w:rPr>
        <w:t>;</w:t>
      </w:r>
    </w:p>
    <w:p w14:paraId="6488628B" w14:textId="77777777" w:rsidR="00E06399" w:rsidRPr="00C1566B" w:rsidRDefault="00E06399" w:rsidP="00C1566B">
      <w:pPr>
        <w:numPr>
          <w:ilvl w:val="0"/>
          <w:numId w:val="47"/>
        </w:numPr>
        <w:suppressAutoHyphens/>
        <w:autoSpaceDE w:val="0"/>
        <w:ind w:left="993" w:hanging="502"/>
        <w:jc w:val="both"/>
        <w:rPr>
          <w:rFonts w:ascii="Titillium Up" w:hAnsi="Titillium Up"/>
          <w:b/>
          <w:sz w:val="24"/>
          <w:szCs w:val="24"/>
        </w:rPr>
      </w:pPr>
      <w:r w:rsidRPr="00C1566B">
        <w:rPr>
          <w:rFonts w:ascii="Titillium Up" w:hAnsi="Titillium Up"/>
          <w:b/>
          <w:sz w:val="24"/>
          <w:szCs w:val="24"/>
        </w:rPr>
        <w:t>rischi connessi con la concessione di prestiti, mutui, fidi e finanziamenti</w:t>
      </w:r>
      <w:r w:rsidR="00C1566B">
        <w:rPr>
          <w:rFonts w:ascii="Titillium Up" w:hAnsi="Titillium Up"/>
          <w:b/>
          <w:sz w:val="24"/>
          <w:szCs w:val="24"/>
        </w:rPr>
        <w:t>;</w:t>
      </w:r>
    </w:p>
    <w:p w14:paraId="5F3968ED" w14:textId="77777777" w:rsidR="00E06399" w:rsidRPr="00C1566B" w:rsidRDefault="00E06399" w:rsidP="00C1566B">
      <w:pPr>
        <w:numPr>
          <w:ilvl w:val="0"/>
          <w:numId w:val="47"/>
        </w:numPr>
        <w:ind w:left="993" w:hanging="502"/>
        <w:rPr>
          <w:rFonts w:ascii="Titillium Up" w:hAnsi="Titillium Up"/>
          <w:b/>
          <w:sz w:val="24"/>
          <w:szCs w:val="24"/>
        </w:rPr>
      </w:pPr>
      <w:r w:rsidRPr="00C1566B">
        <w:rPr>
          <w:rFonts w:ascii="Titillium Up" w:hAnsi="Titillium Up"/>
          <w:b/>
          <w:sz w:val="24"/>
          <w:szCs w:val="24"/>
        </w:rPr>
        <w:t>violazioni della normativa sulla privacy</w:t>
      </w:r>
      <w:r w:rsidR="00C1566B">
        <w:rPr>
          <w:rFonts w:ascii="Titillium Up" w:hAnsi="Titillium Up"/>
          <w:b/>
          <w:sz w:val="24"/>
          <w:szCs w:val="24"/>
        </w:rPr>
        <w:t>.</w:t>
      </w:r>
    </w:p>
    <w:p w14:paraId="387B44A8" w14:textId="77777777" w:rsidR="00E06399" w:rsidRDefault="00E06399" w:rsidP="00E06399">
      <w:pPr>
        <w:autoSpaceDE w:val="0"/>
        <w:autoSpaceDN w:val="0"/>
        <w:adjustRightInd w:val="0"/>
        <w:rPr>
          <w:sz w:val="24"/>
          <w:szCs w:val="24"/>
        </w:rPr>
      </w:pPr>
    </w:p>
    <w:p w14:paraId="6C05C4D5" w14:textId="77777777" w:rsidR="00E06399" w:rsidRPr="00C1566B" w:rsidRDefault="00E06399" w:rsidP="00C1566B">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23" w:name="_Toc373310546"/>
      <w:bookmarkStart w:id="24" w:name="_Toc373313742"/>
      <w:bookmarkStart w:id="25" w:name="_Toc24964307"/>
      <w:r w:rsidRPr="00C1566B">
        <w:rPr>
          <w:rFonts w:ascii="Titillium Up" w:hAnsi="Titillium Up" w:cs="Arial"/>
          <w:b/>
          <w:bCs/>
          <w:caps/>
          <w:color w:val="0070C0"/>
          <w:w w:val="94"/>
          <w:sz w:val="28"/>
          <w:szCs w:val="28"/>
        </w:rPr>
        <w:t>3.2 Delimitazione dell’assicurazione - Esclusioni</w:t>
      </w:r>
      <w:bookmarkEnd w:id="23"/>
      <w:bookmarkEnd w:id="24"/>
      <w:bookmarkEnd w:id="25"/>
    </w:p>
    <w:p w14:paraId="345D1D7C" w14:textId="77777777" w:rsidR="00E06399" w:rsidRPr="00C1566B" w:rsidRDefault="00E06399" w:rsidP="00E06399">
      <w:pPr>
        <w:pStyle w:val="PreformattatoHTML"/>
        <w:ind w:left="426"/>
        <w:jc w:val="both"/>
        <w:rPr>
          <w:rFonts w:ascii="Titillium Up" w:hAnsi="Titillium Up" w:cs="Times New Roman"/>
          <w:sz w:val="24"/>
          <w:szCs w:val="24"/>
        </w:rPr>
      </w:pPr>
      <w:r w:rsidRPr="00C1566B">
        <w:rPr>
          <w:rFonts w:ascii="Titillium Up" w:hAnsi="Titillium Up" w:cs="Times New Roman"/>
          <w:sz w:val="24"/>
          <w:szCs w:val="24"/>
          <w:u w:val="single"/>
        </w:rPr>
        <w:t>Non sono considerati terzi:</w:t>
      </w:r>
      <w:r w:rsidRPr="00C1566B">
        <w:rPr>
          <w:rFonts w:ascii="Titillium Up" w:hAnsi="Titillium Up" w:cs="Times New Roman"/>
          <w:sz w:val="24"/>
          <w:szCs w:val="24"/>
        </w:rPr>
        <w:t xml:space="preserve"> L'assicurato, il coniuge, i genitori, i figli dell'Assicurato, nonché qualsiasi altro parente od affine.</w:t>
      </w:r>
    </w:p>
    <w:p w14:paraId="7340EC7E" w14:textId="77777777" w:rsidR="00E06399" w:rsidRPr="00C1566B" w:rsidRDefault="00E06399" w:rsidP="00E06399">
      <w:pPr>
        <w:autoSpaceDE w:val="0"/>
        <w:autoSpaceDN w:val="0"/>
        <w:adjustRightInd w:val="0"/>
        <w:ind w:left="426"/>
        <w:jc w:val="both"/>
        <w:rPr>
          <w:rFonts w:ascii="Titillium Up" w:hAnsi="Titillium Up"/>
          <w:color w:val="000000"/>
          <w:sz w:val="24"/>
          <w:szCs w:val="24"/>
        </w:rPr>
      </w:pPr>
      <w:r w:rsidRPr="00C1566B">
        <w:rPr>
          <w:rFonts w:ascii="Titillium Up" w:hAnsi="Titillium Up"/>
          <w:sz w:val="24"/>
          <w:szCs w:val="24"/>
          <w:u w:val="single"/>
        </w:rPr>
        <w:t>Esclusione Dolo:</w:t>
      </w:r>
      <w:r w:rsidRPr="00C1566B">
        <w:rPr>
          <w:rFonts w:ascii="Titillium Up" w:hAnsi="Titillium Up"/>
          <w:sz w:val="24"/>
          <w:szCs w:val="24"/>
        </w:rPr>
        <w:t xml:space="preserve"> La garanzia prestata con la presente polizza non </w:t>
      </w:r>
      <w:r w:rsidRPr="00C1566B">
        <w:rPr>
          <w:rFonts w:ascii="Titillium Up" w:hAnsi="Titillium Up"/>
          <w:color w:val="000000"/>
          <w:sz w:val="24"/>
          <w:szCs w:val="24"/>
        </w:rPr>
        <w:t>sarà operante per i rimborsi conseguenti a perdite dovute a fatto penalmente perseguibile, infedeltà e dolo dell’Assicurato.</w:t>
      </w:r>
    </w:p>
    <w:p w14:paraId="1CBDA4CC" w14:textId="77777777" w:rsidR="00C1566B" w:rsidRDefault="00C1566B" w:rsidP="00E06399">
      <w:pPr>
        <w:pStyle w:val="PreformattatoHTML"/>
        <w:ind w:left="426"/>
        <w:jc w:val="both"/>
        <w:rPr>
          <w:rFonts w:ascii="Titillium Up" w:hAnsi="Titillium Up" w:cs="Times New Roman"/>
          <w:color w:val="000000"/>
          <w:sz w:val="24"/>
          <w:szCs w:val="24"/>
          <w:u w:val="single"/>
        </w:rPr>
      </w:pPr>
    </w:p>
    <w:p w14:paraId="3267E5E0" w14:textId="77777777" w:rsidR="00E06399" w:rsidRPr="00C1566B" w:rsidRDefault="00E06399" w:rsidP="00E06399">
      <w:pPr>
        <w:pStyle w:val="PreformattatoHTML"/>
        <w:ind w:left="426"/>
        <w:jc w:val="both"/>
        <w:rPr>
          <w:rFonts w:ascii="Titillium Up" w:hAnsi="Titillium Up" w:cs="Times New Roman"/>
          <w:color w:val="000000"/>
          <w:sz w:val="24"/>
          <w:szCs w:val="24"/>
        </w:rPr>
      </w:pPr>
      <w:r w:rsidRPr="00C1566B">
        <w:rPr>
          <w:rFonts w:ascii="Titillium Up" w:hAnsi="Titillium Up" w:cs="Times New Roman"/>
          <w:color w:val="000000"/>
          <w:sz w:val="24"/>
          <w:szCs w:val="24"/>
          <w:u w:val="single"/>
        </w:rPr>
        <w:t>L'assicurazione non vale per</w:t>
      </w:r>
      <w:r w:rsidRPr="00C1566B">
        <w:rPr>
          <w:rFonts w:ascii="Titillium Up" w:hAnsi="Titillium Up" w:cs="Times New Roman"/>
          <w:color w:val="000000"/>
          <w:sz w:val="24"/>
          <w:szCs w:val="24"/>
        </w:rPr>
        <w:t>:</w:t>
      </w:r>
    </w:p>
    <w:p w14:paraId="56EA8BF4" w14:textId="77777777" w:rsidR="00E06399" w:rsidRPr="00C1566B" w:rsidRDefault="00E06399" w:rsidP="00E06399">
      <w:pPr>
        <w:pStyle w:val="PreformattatoHTML"/>
        <w:numPr>
          <w:ilvl w:val="0"/>
          <w:numId w:val="44"/>
        </w:numPr>
        <w:tabs>
          <w:tab w:val="clear" w:pos="916"/>
          <w:tab w:val="left" w:pos="284"/>
          <w:tab w:val="left" w:pos="567"/>
          <w:tab w:val="left" w:pos="709"/>
        </w:tabs>
        <w:ind w:left="710"/>
        <w:jc w:val="both"/>
        <w:rPr>
          <w:rFonts w:ascii="Titillium Up" w:hAnsi="Titillium Up" w:cs="Times New Roman"/>
          <w:color w:val="000000"/>
          <w:sz w:val="24"/>
          <w:szCs w:val="24"/>
        </w:rPr>
      </w:pPr>
      <w:r w:rsidRPr="00C1566B">
        <w:rPr>
          <w:rFonts w:ascii="Titillium Up" w:hAnsi="Titillium Up" w:cs="Times New Roman"/>
          <w:color w:val="000000"/>
          <w:sz w:val="24"/>
          <w:szCs w:val="24"/>
        </w:rPr>
        <w:t>le perdite patrimoniali derivanti da furto, rapina, furto con destrezza, smarrimento, incendio, danneggiamento e distruzione di valori</w:t>
      </w:r>
      <w:r w:rsidR="00C1566B">
        <w:rPr>
          <w:rFonts w:ascii="Titillium Up" w:hAnsi="Titillium Up" w:cs="Times New Roman"/>
          <w:color w:val="000000"/>
          <w:sz w:val="24"/>
          <w:szCs w:val="24"/>
        </w:rPr>
        <w:t>;</w:t>
      </w:r>
      <w:r w:rsidRPr="00C1566B">
        <w:rPr>
          <w:rFonts w:ascii="Titillium Up" w:hAnsi="Titillium Up" w:cs="Times New Roman"/>
          <w:color w:val="000000"/>
          <w:sz w:val="24"/>
          <w:szCs w:val="24"/>
        </w:rPr>
        <w:t xml:space="preserve">         </w:t>
      </w:r>
    </w:p>
    <w:p w14:paraId="7F07F7B6" w14:textId="77777777" w:rsidR="00E06399" w:rsidRPr="00C1566B" w:rsidRDefault="00E06399" w:rsidP="00E06399">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sidRPr="00C1566B">
        <w:rPr>
          <w:rFonts w:ascii="Titillium Up" w:hAnsi="Titillium Up" w:cs="Times New Roman"/>
          <w:color w:val="000000"/>
          <w:sz w:val="24"/>
          <w:szCs w:val="24"/>
        </w:rPr>
        <w:t>i danni a persone (morte e lesioni personali) e per danneggiamenti a cose</w:t>
      </w:r>
      <w:r w:rsidRPr="00C1566B">
        <w:rPr>
          <w:rFonts w:ascii="Titillium Up" w:hAnsi="Titillium Up" w:cs="Times New Roman"/>
          <w:sz w:val="24"/>
          <w:szCs w:val="24"/>
        </w:rPr>
        <w:t>;</w:t>
      </w:r>
    </w:p>
    <w:p w14:paraId="6FB70CC8" w14:textId="77777777" w:rsidR="00E06399" w:rsidRPr="00C1566B" w:rsidRDefault="00E06399" w:rsidP="00E06399">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sidRPr="00C1566B">
        <w:rPr>
          <w:rFonts w:ascii="Titillium Up" w:hAnsi="Titillium Up" w:cs="Times New Roman"/>
          <w:sz w:val="24"/>
          <w:szCs w:val="24"/>
        </w:rPr>
        <w:lastRenderedPageBreak/>
        <w:t>le perdite patrimoniali derivanti dalla stipulazione di polizze di assicurazioni non adeguate e/o congrue alle esigenze del cliente; si conferma invece l’operatività della garanzia per quanto riguarda le attività connesse ad errori formali e/o documentali relativamente alla stipula di polizze di assicurazione;</w:t>
      </w:r>
    </w:p>
    <w:p w14:paraId="5C7244AC" w14:textId="77777777" w:rsidR="00E06399" w:rsidRPr="00C1566B" w:rsidRDefault="00E06399" w:rsidP="00E06399">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sidRPr="00C1566B">
        <w:rPr>
          <w:rFonts w:ascii="Titillium Up" w:hAnsi="Titillium Up" w:cs="Times New Roman"/>
          <w:sz w:val="24"/>
          <w:szCs w:val="24"/>
        </w:rPr>
        <w:t>il mancato raggiungimento del fine o dell'insuccesso di iniziative aziendali e commerciali;</w:t>
      </w:r>
    </w:p>
    <w:p w14:paraId="26C1699B" w14:textId="77777777" w:rsidR="00EC5743" w:rsidRDefault="00E06399" w:rsidP="00EC5743">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sidRPr="00C1566B">
        <w:rPr>
          <w:rFonts w:ascii="Titillium Up" w:hAnsi="Titillium Up" w:cs="Times New Roman"/>
          <w:sz w:val="24"/>
          <w:szCs w:val="24"/>
        </w:rPr>
        <w:t>l'attività svolta dall'Assicurato quale componente di consigli di amministrazione di enti o società;</w:t>
      </w:r>
    </w:p>
    <w:p w14:paraId="64FD2118" w14:textId="77777777" w:rsidR="00E06399" w:rsidRPr="00EC5743" w:rsidRDefault="00EC5743" w:rsidP="00EC5743">
      <w:pPr>
        <w:pStyle w:val="PreformattatoHTML"/>
        <w:numPr>
          <w:ilvl w:val="0"/>
          <w:numId w:val="44"/>
        </w:numPr>
        <w:tabs>
          <w:tab w:val="clear" w:pos="916"/>
          <w:tab w:val="left" w:pos="284"/>
          <w:tab w:val="left" w:pos="567"/>
          <w:tab w:val="left" w:pos="851"/>
        </w:tabs>
        <w:ind w:left="710"/>
        <w:jc w:val="both"/>
        <w:rPr>
          <w:rFonts w:ascii="Titillium Up" w:hAnsi="Titillium Up" w:cs="Times New Roman"/>
          <w:sz w:val="24"/>
          <w:szCs w:val="24"/>
        </w:rPr>
      </w:pPr>
      <w:r>
        <w:rPr>
          <w:rFonts w:ascii="Titillium Up" w:hAnsi="Titillium Up" w:cs="Times New Roman"/>
          <w:sz w:val="24"/>
          <w:szCs w:val="24"/>
        </w:rPr>
        <w:t xml:space="preserve">   </w:t>
      </w:r>
      <w:r w:rsidR="00E06399" w:rsidRPr="00EC5743">
        <w:rPr>
          <w:rFonts w:ascii="Titillium Up" w:hAnsi="Titillium Up" w:cs="Times New Roman"/>
          <w:sz w:val="24"/>
          <w:szCs w:val="24"/>
        </w:rPr>
        <w:t xml:space="preserve">azioni ed omissioni compiute allo scopo di causare un illecito profitto e/o vantaggio a favore proprio, dell'Istituto di Credito di appartenenza e/o di chiunque altro; </w:t>
      </w:r>
    </w:p>
    <w:p w14:paraId="5DEB81FD" w14:textId="77777777" w:rsidR="00E06399" w:rsidRPr="00C1566B" w:rsidRDefault="00E06399" w:rsidP="00E06399">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sidRPr="00C1566B">
        <w:rPr>
          <w:rFonts w:ascii="Titillium Up" w:hAnsi="Titillium Up" w:cs="Times New Roman"/>
          <w:sz w:val="24"/>
          <w:szCs w:val="24"/>
        </w:rPr>
        <w:t>l'attività di estimatori di pegni;</w:t>
      </w:r>
    </w:p>
    <w:p w14:paraId="2EE6B2CF" w14:textId="77777777" w:rsidR="00E06399" w:rsidRDefault="00E06399" w:rsidP="00E06399">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sidRPr="00C1566B">
        <w:rPr>
          <w:rFonts w:ascii="Titillium Up" w:hAnsi="Titillium Up" w:cs="Times New Roman"/>
          <w:sz w:val="24"/>
          <w:szCs w:val="24"/>
        </w:rPr>
        <w:t>l’attività connessa all'assunzione e gestione del personale;</w:t>
      </w:r>
    </w:p>
    <w:p w14:paraId="63667841" w14:textId="58BEC835" w:rsidR="00E06399" w:rsidRDefault="00C1566B" w:rsidP="00C1566B">
      <w:pPr>
        <w:pStyle w:val="PreformattatoHTML"/>
        <w:numPr>
          <w:ilvl w:val="0"/>
          <w:numId w:val="44"/>
        </w:numPr>
        <w:tabs>
          <w:tab w:val="clear" w:pos="916"/>
          <w:tab w:val="left" w:pos="567"/>
        </w:tabs>
        <w:ind w:left="710"/>
        <w:jc w:val="both"/>
        <w:rPr>
          <w:rFonts w:ascii="Titillium Up" w:hAnsi="Titillium Up" w:cs="Times New Roman"/>
          <w:sz w:val="24"/>
          <w:szCs w:val="24"/>
        </w:rPr>
      </w:pPr>
      <w:r>
        <w:rPr>
          <w:rFonts w:ascii="Titillium Up" w:hAnsi="Titillium Up" w:cs="Times New Roman"/>
          <w:sz w:val="24"/>
          <w:szCs w:val="24"/>
        </w:rPr>
        <w:t xml:space="preserve">  </w:t>
      </w:r>
      <w:r w:rsidR="005328D5" w:rsidRPr="00DF0C37">
        <w:rPr>
          <w:rFonts w:ascii="Titillium Up" w:hAnsi="Titillium Up"/>
          <w:sz w:val="24"/>
          <w:szCs w:val="24"/>
        </w:rPr>
        <w:t>le perdite patrimoniali derivanti dall'uso fraudolento di sistemi di elaborazione dati o attraverso truffe compiute tramite l’invio di email fraudolente (phishing);</w:t>
      </w:r>
    </w:p>
    <w:p w14:paraId="6D203345" w14:textId="77777777" w:rsidR="00E06399" w:rsidRPr="00C1566B" w:rsidRDefault="00C1566B" w:rsidP="00C1566B">
      <w:pPr>
        <w:pStyle w:val="PreformattatoHTML"/>
        <w:numPr>
          <w:ilvl w:val="0"/>
          <w:numId w:val="44"/>
        </w:numPr>
        <w:tabs>
          <w:tab w:val="clear" w:pos="916"/>
          <w:tab w:val="left" w:pos="567"/>
        </w:tabs>
        <w:ind w:left="710"/>
        <w:jc w:val="both"/>
        <w:rPr>
          <w:rFonts w:ascii="Titillium Up" w:hAnsi="Titillium Up" w:cs="Times New Roman"/>
          <w:sz w:val="24"/>
          <w:szCs w:val="24"/>
        </w:rPr>
      </w:pPr>
      <w:r>
        <w:rPr>
          <w:rFonts w:ascii="Titillium Up" w:hAnsi="Titillium Up" w:cs="Times New Roman"/>
          <w:sz w:val="24"/>
          <w:szCs w:val="24"/>
        </w:rPr>
        <w:t xml:space="preserve">  </w:t>
      </w:r>
      <w:r w:rsidR="00E06399" w:rsidRPr="00C1566B">
        <w:rPr>
          <w:rFonts w:ascii="Titillium Up" w:hAnsi="Titillium Up" w:cs="Times New Roman"/>
          <w:sz w:val="24"/>
          <w:szCs w:val="24"/>
        </w:rPr>
        <w:t>le perdite patrimoniali derivanti da difetti e/o errori del software utilizzato per l'attività e realizzato o adottato dall'Istituto di Credito presso il quale l'Assicurato è dipendente; da ammanchi derivanti dal malfunzionamento del Bancomat o cassetti automatici</w:t>
      </w:r>
      <w:r w:rsidRPr="00C1566B">
        <w:rPr>
          <w:rFonts w:ascii="Titillium Up" w:hAnsi="Titillium Up" w:cs="Times New Roman"/>
          <w:sz w:val="24"/>
          <w:szCs w:val="24"/>
        </w:rPr>
        <w:t>;</w:t>
      </w:r>
    </w:p>
    <w:p w14:paraId="075BE038" w14:textId="77777777" w:rsidR="00E06399" w:rsidRPr="00C1566B" w:rsidRDefault="00C1566B" w:rsidP="00E06399">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Pr>
          <w:rFonts w:ascii="Titillium Up" w:hAnsi="Titillium Up" w:cs="Times New Roman"/>
          <w:sz w:val="24"/>
          <w:szCs w:val="24"/>
        </w:rPr>
        <w:t>r</w:t>
      </w:r>
      <w:r w:rsidR="00E06399" w:rsidRPr="00C1566B">
        <w:rPr>
          <w:rFonts w:ascii="Titillium Up" w:hAnsi="Titillium Up" w:cs="Times New Roman"/>
          <w:sz w:val="24"/>
          <w:szCs w:val="24"/>
        </w:rPr>
        <w:t>ichieste patrimoniali derivanti dalla diffusione impropria di informazioni, dati e/o documentazione riservata</w:t>
      </w:r>
      <w:r>
        <w:rPr>
          <w:rFonts w:ascii="Titillium Up" w:hAnsi="Titillium Up" w:cs="Times New Roman"/>
          <w:sz w:val="24"/>
          <w:szCs w:val="24"/>
        </w:rPr>
        <w:t>.</w:t>
      </w:r>
    </w:p>
    <w:p w14:paraId="6AB58B73" w14:textId="77777777" w:rsidR="00E06399" w:rsidRDefault="00E06399" w:rsidP="00E06399">
      <w:pPr>
        <w:pStyle w:val="PreformattatoHTML"/>
        <w:jc w:val="both"/>
        <w:rPr>
          <w:rFonts w:ascii="Times New Roman" w:hAnsi="Times New Roman" w:cs="Times New Roman"/>
          <w:sz w:val="24"/>
          <w:szCs w:val="24"/>
        </w:rPr>
      </w:pPr>
    </w:p>
    <w:p w14:paraId="51B3A314" w14:textId="77777777" w:rsidR="00E06399" w:rsidRPr="00C1566B" w:rsidRDefault="00E06399" w:rsidP="00C1566B">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26" w:name="_Toc373310547"/>
      <w:bookmarkStart w:id="27" w:name="_Toc373313743"/>
      <w:bookmarkStart w:id="28" w:name="_Toc24964308"/>
      <w:r w:rsidRPr="00C1566B">
        <w:rPr>
          <w:rFonts w:ascii="Titillium Up" w:hAnsi="Titillium Up" w:cs="Arial"/>
          <w:b/>
          <w:bCs/>
          <w:caps/>
          <w:color w:val="0070C0"/>
          <w:w w:val="94"/>
          <w:sz w:val="28"/>
          <w:szCs w:val="28"/>
        </w:rPr>
        <w:t>3.3  Spese legali</w:t>
      </w:r>
      <w:bookmarkEnd w:id="26"/>
      <w:bookmarkEnd w:id="27"/>
      <w:bookmarkEnd w:id="28"/>
    </w:p>
    <w:p w14:paraId="73840A1C" w14:textId="77777777" w:rsidR="00E06399" w:rsidRPr="00C1566B" w:rsidRDefault="00E06399" w:rsidP="00E06399">
      <w:pPr>
        <w:autoSpaceDE w:val="0"/>
        <w:autoSpaceDN w:val="0"/>
        <w:adjustRightInd w:val="0"/>
        <w:ind w:left="426"/>
        <w:jc w:val="both"/>
        <w:rPr>
          <w:rFonts w:ascii="Titillium Up" w:hAnsi="Titillium Up"/>
          <w:color w:val="000000"/>
          <w:sz w:val="24"/>
          <w:szCs w:val="24"/>
        </w:rPr>
      </w:pPr>
      <w:r w:rsidRPr="00C1566B">
        <w:rPr>
          <w:rFonts w:ascii="Titillium Up" w:hAnsi="Titillium Up"/>
          <w:color w:val="000000"/>
          <w:sz w:val="24"/>
          <w:szCs w:val="24"/>
        </w:rPr>
        <w:t>La Società assume la gestione delle vertenze in sede civile fino a quando ne ha interesse; ha altresì facoltà di provvedere per la difesa dell’Assicurato in sede penale sino ad esaurimento del grado di giudizio in corso all’atto della tacitazione dei danneggiati. La Società non riconosce spese per legali o tecnici che non siano da essa designati e non risponde di multe o ammende. Sono escluse le vertenze di lavoro e le azioni a seguito di provvedimenti disciplinari.</w:t>
      </w:r>
    </w:p>
    <w:p w14:paraId="2B84B7D4" w14:textId="77777777" w:rsidR="00E06399" w:rsidRPr="00E84621" w:rsidRDefault="00E06399" w:rsidP="00E06399">
      <w:pPr>
        <w:autoSpaceDE w:val="0"/>
        <w:autoSpaceDN w:val="0"/>
        <w:adjustRightInd w:val="0"/>
        <w:rPr>
          <w:color w:val="000000"/>
          <w:sz w:val="24"/>
          <w:szCs w:val="24"/>
        </w:rPr>
      </w:pPr>
    </w:p>
    <w:p w14:paraId="1D8D09F9" w14:textId="77777777" w:rsidR="00E06399" w:rsidRPr="00C1566B" w:rsidRDefault="00E06399" w:rsidP="00C1566B">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29" w:name="_Toc373310548"/>
      <w:bookmarkStart w:id="30" w:name="_Toc373313744"/>
      <w:bookmarkStart w:id="31" w:name="_Toc24964309"/>
      <w:r w:rsidRPr="00C1566B">
        <w:rPr>
          <w:rFonts w:ascii="Titillium Up" w:hAnsi="Titillium Up" w:cs="Arial"/>
          <w:b/>
          <w:bCs/>
          <w:caps/>
          <w:color w:val="0070C0"/>
          <w:w w:val="94"/>
          <w:sz w:val="28"/>
          <w:szCs w:val="28"/>
        </w:rPr>
        <w:t>3.4  Estensione Territoriale</w:t>
      </w:r>
      <w:bookmarkEnd w:id="29"/>
      <w:bookmarkEnd w:id="30"/>
      <w:bookmarkEnd w:id="31"/>
      <w:r w:rsidRPr="00C1566B">
        <w:rPr>
          <w:rFonts w:ascii="Titillium Up" w:hAnsi="Titillium Up" w:cs="Arial"/>
          <w:b/>
          <w:bCs/>
          <w:caps/>
          <w:color w:val="0070C0"/>
          <w:w w:val="94"/>
          <w:sz w:val="28"/>
          <w:szCs w:val="28"/>
        </w:rPr>
        <w:t xml:space="preserve"> </w:t>
      </w:r>
    </w:p>
    <w:p w14:paraId="46C453A6" w14:textId="77777777" w:rsidR="00E06399" w:rsidRPr="00C1566B" w:rsidRDefault="00E06399" w:rsidP="00C1566B">
      <w:pPr>
        <w:autoSpaceDE w:val="0"/>
        <w:autoSpaceDN w:val="0"/>
        <w:adjustRightInd w:val="0"/>
        <w:ind w:left="426"/>
        <w:jc w:val="both"/>
        <w:rPr>
          <w:rFonts w:ascii="Titillium Up" w:hAnsi="Titillium Up"/>
          <w:color w:val="000000"/>
          <w:sz w:val="24"/>
          <w:szCs w:val="24"/>
        </w:rPr>
      </w:pPr>
      <w:r w:rsidRPr="00C1566B">
        <w:rPr>
          <w:rFonts w:ascii="Titillium Up" w:hAnsi="Titillium Up"/>
          <w:color w:val="000000"/>
          <w:sz w:val="24"/>
          <w:szCs w:val="24"/>
        </w:rPr>
        <w:t>Italia, Repubblica di S. Marino, Stato Città del Vaticano, paesi dell’Unione Europea.</w:t>
      </w:r>
    </w:p>
    <w:p w14:paraId="74C9D800" w14:textId="77777777" w:rsidR="00E06399" w:rsidRPr="00E84621" w:rsidRDefault="00E06399" w:rsidP="00E06399">
      <w:pPr>
        <w:ind w:left="426"/>
        <w:jc w:val="both"/>
        <w:rPr>
          <w:color w:val="000000"/>
          <w:sz w:val="24"/>
          <w:szCs w:val="24"/>
        </w:rPr>
      </w:pPr>
    </w:p>
    <w:p w14:paraId="7E7069E3" w14:textId="77777777" w:rsidR="00E06399" w:rsidRPr="00C1566B" w:rsidRDefault="00E06399" w:rsidP="00C1566B">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32" w:name="_Toc373310549"/>
      <w:bookmarkStart w:id="33" w:name="_Toc373313745"/>
      <w:bookmarkStart w:id="34" w:name="_Toc24964310"/>
      <w:r w:rsidRPr="00C1566B">
        <w:rPr>
          <w:rFonts w:ascii="Titillium Up" w:hAnsi="Titillium Up" w:cs="Arial"/>
          <w:b/>
          <w:bCs/>
          <w:caps/>
          <w:color w:val="0070C0"/>
          <w:w w:val="94"/>
          <w:sz w:val="28"/>
          <w:szCs w:val="28"/>
        </w:rPr>
        <w:t>3.5  Validità della Garanzia</w:t>
      </w:r>
      <w:bookmarkEnd w:id="32"/>
      <w:bookmarkEnd w:id="33"/>
      <w:bookmarkEnd w:id="34"/>
    </w:p>
    <w:p w14:paraId="7943418D" w14:textId="77777777" w:rsidR="005328D5" w:rsidRPr="00C1566B" w:rsidRDefault="005328D5" w:rsidP="005328D5">
      <w:pPr>
        <w:autoSpaceDE w:val="0"/>
        <w:autoSpaceDN w:val="0"/>
        <w:adjustRightInd w:val="0"/>
        <w:ind w:left="426"/>
        <w:jc w:val="both"/>
        <w:rPr>
          <w:rFonts w:ascii="Titillium Up" w:hAnsi="Titillium Up"/>
          <w:color w:val="000000"/>
          <w:sz w:val="24"/>
          <w:szCs w:val="24"/>
        </w:rPr>
      </w:pPr>
      <w:r w:rsidRPr="00C1566B">
        <w:rPr>
          <w:rFonts w:ascii="Titillium Up" w:hAnsi="Titillium Up"/>
          <w:color w:val="000000"/>
          <w:sz w:val="24"/>
          <w:szCs w:val="24"/>
        </w:rPr>
        <w:t xml:space="preserve">L’assicurazione vale per le richieste di risarcimento pervenute durante il periodo di efficacia dell’assicurazione a condizione che tali richieste diano origine ad un danno non conosciuto a seguito di comportamenti colposi posti in essere non oltre </w:t>
      </w:r>
      <w:r w:rsidRPr="00C1566B">
        <w:rPr>
          <w:rFonts w:ascii="Titillium Up" w:hAnsi="Titillium Up"/>
          <w:b/>
          <w:bCs/>
          <w:color w:val="000000"/>
          <w:sz w:val="24"/>
          <w:szCs w:val="24"/>
        </w:rPr>
        <w:t>10 anni</w:t>
      </w:r>
      <w:r w:rsidRPr="00C1566B">
        <w:rPr>
          <w:rFonts w:ascii="Titillium Up" w:hAnsi="Titillium Up"/>
          <w:color w:val="000000"/>
          <w:sz w:val="24"/>
          <w:szCs w:val="24"/>
        </w:rPr>
        <w:t xml:space="preserve"> a far data dalla data di effetto dei singoli certificati emessi.</w:t>
      </w:r>
      <w:r>
        <w:rPr>
          <w:rFonts w:ascii="Titillium Up" w:hAnsi="Titillium Up"/>
          <w:color w:val="000000"/>
          <w:sz w:val="24"/>
          <w:szCs w:val="24"/>
        </w:rPr>
        <w:t xml:space="preserve"> </w:t>
      </w:r>
      <w:r w:rsidRPr="00DF0C37">
        <w:rPr>
          <w:rFonts w:ascii="Titillium Up" w:hAnsi="Titillium Up"/>
          <w:color w:val="000000"/>
          <w:sz w:val="24"/>
          <w:szCs w:val="24"/>
        </w:rPr>
        <w:t>La garanzia è inoltre estesa, qualora l’assicurato rimanga iscritto al Sindacato contraente della polizza, per i sinistri denunciati entro i 12 mesi successivi alla scadenza del contratto ed a condizione che il danno sia avvenuto durante il periodo di validità della polizza.</w:t>
      </w:r>
    </w:p>
    <w:p w14:paraId="2436ACAB" w14:textId="77777777" w:rsidR="005328D5" w:rsidRPr="00C1566B" w:rsidRDefault="005328D5" w:rsidP="005328D5">
      <w:pPr>
        <w:autoSpaceDE w:val="0"/>
        <w:autoSpaceDN w:val="0"/>
        <w:adjustRightInd w:val="0"/>
        <w:ind w:left="426"/>
        <w:jc w:val="both"/>
        <w:rPr>
          <w:rFonts w:ascii="Titillium Up" w:hAnsi="Titillium Up"/>
          <w:color w:val="000000"/>
          <w:sz w:val="24"/>
          <w:szCs w:val="24"/>
        </w:rPr>
      </w:pPr>
      <w:r w:rsidRPr="00C1566B">
        <w:rPr>
          <w:rFonts w:ascii="Titillium Up" w:hAnsi="Titillium Up"/>
          <w:color w:val="000000"/>
          <w:sz w:val="24"/>
          <w:szCs w:val="24"/>
        </w:rPr>
        <w:t>Si precisa che la massima esposizione della Compagnia indipendentemente dal numero dei sinistri annui sarà pari ad un massimale di € 5.000.000,00 annui.</w:t>
      </w:r>
    </w:p>
    <w:p w14:paraId="39373DC2" w14:textId="77777777" w:rsidR="00E06399" w:rsidRPr="00EF0340" w:rsidRDefault="00E06399" w:rsidP="00E06399">
      <w:pPr>
        <w:autoSpaceDE w:val="0"/>
        <w:autoSpaceDN w:val="0"/>
        <w:adjustRightInd w:val="0"/>
        <w:rPr>
          <w:sz w:val="24"/>
          <w:szCs w:val="24"/>
        </w:rPr>
      </w:pPr>
    </w:p>
    <w:p w14:paraId="17491791" w14:textId="77777777" w:rsidR="00E06399" w:rsidRPr="00C1566B" w:rsidRDefault="00E06399" w:rsidP="00C1566B">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35" w:name="_Toc24964311"/>
      <w:r w:rsidRPr="00C1566B">
        <w:rPr>
          <w:rFonts w:ascii="Titillium Up" w:hAnsi="Titillium Up" w:cs="Arial"/>
          <w:b/>
          <w:bCs/>
          <w:caps/>
          <w:color w:val="0070C0"/>
          <w:w w:val="94"/>
          <w:sz w:val="28"/>
          <w:szCs w:val="28"/>
        </w:rPr>
        <w:t>3.6 Obblighi dell’assicurato in caso di sinistro</w:t>
      </w:r>
      <w:bookmarkEnd w:id="35"/>
    </w:p>
    <w:p w14:paraId="6A19D237" w14:textId="77777777" w:rsidR="00E06399" w:rsidRPr="00C1566B" w:rsidRDefault="00E06399" w:rsidP="00E06399">
      <w:pPr>
        <w:autoSpaceDE w:val="0"/>
        <w:autoSpaceDN w:val="0"/>
        <w:adjustRightInd w:val="0"/>
        <w:ind w:left="360"/>
        <w:jc w:val="both"/>
        <w:rPr>
          <w:rFonts w:ascii="Titillium Up" w:hAnsi="Titillium Up"/>
          <w:sz w:val="24"/>
          <w:szCs w:val="24"/>
        </w:rPr>
      </w:pPr>
      <w:r w:rsidRPr="00C1566B">
        <w:rPr>
          <w:rFonts w:ascii="Titillium Up" w:hAnsi="Titillium Up"/>
          <w:sz w:val="24"/>
          <w:szCs w:val="24"/>
        </w:rPr>
        <w:t xml:space="preserve">In caso di sinistro l’assicurato deve inviare alla società di brokeraggio Aminta s.r.l. la denuncia di ciascun sinistro </w:t>
      </w:r>
      <w:r w:rsidRPr="00C1566B">
        <w:rPr>
          <w:rFonts w:ascii="Titillium Up" w:hAnsi="Titillium Up"/>
          <w:sz w:val="24"/>
          <w:szCs w:val="24"/>
          <w:u w:val="single"/>
        </w:rPr>
        <w:t>entro 15 giorni</w:t>
      </w:r>
      <w:r w:rsidRPr="00C1566B">
        <w:rPr>
          <w:rFonts w:ascii="Titillium Up" w:hAnsi="Titillium Up"/>
          <w:sz w:val="24"/>
          <w:szCs w:val="24"/>
        </w:rPr>
        <w:t xml:space="preserve"> da quello in cui l’Assicurato ha ricevuto la richiesta scritta contenente la motivazione dell’addebito notificato. (Allegato disponibile sul sito </w:t>
      </w:r>
      <w:r w:rsidRPr="00C1566B">
        <w:rPr>
          <w:rFonts w:ascii="Titillium Up" w:hAnsi="Titillium Up"/>
          <w:b/>
          <w:bCs/>
          <w:sz w:val="24"/>
          <w:szCs w:val="24"/>
        </w:rPr>
        <w:t>www.amintaunitasindacale.com</w:t>
      </w:r>
      <w:r w:rsidRPr="00C1566B">
        <w:rPr>
          <w:rFonts w:ascii="Titillium Up" w:hAnsi="Titillium Up"/>
          <w:sz w:val="24"/>
          <w:szCs w:val="24"/>
        </w:rPr>
        <w:t xml:space="preserve">, “Convenzione UNITA’ SINDACALE” modulo “Denuncia Sinistri”). </w:t>
      </w:r>
    </w:p>
    <w:p w14:paraId="7BA27F30" w14:textId="77777777" w:rsidR="00E06399" w:rsidRPr="00C1566B" w:rsidRDefault="00E06399" w:rsidP="00E06399">
      <w:pPr>
        <w:autoSpaceDE w:val="0"/>
        <w:autoSpaceDN w:val="0"/>
        <w:adjustRightInd w:val="0"/>
        <w:ind w:firstLine="360"/>
        <w:jc w:val="both"/>
        <w:rPr>
          <w:rFonts w:ascii="Titillium Up" w:hAnsi="Titillium Up"/>
          <w:sz w:val="24"/>
          <w:szCs w:val="24"/>
        </w:rPr>
      </w:pPr>
      <w:r w:rsidRPr="00C1566B">
        <w:rPr>
          <w:rFonts w:ascii="Titillium Up" w:hAnsi="Titillium Up"/>
          <w:sz w:val="24"/>
          <w:szCs w:val="24"/>
        </w:rPr>
        <w:t xml:space="preserve">Inviare la documentazione cartacea </w:t>
      </w:r>
      <w:r w:rsidRPr="00C1566B">
        <w:rPr>
          <w:rFonts w:ascii="Titillium Up" w:hAnsi="Titillium Up"/>
          <w:sz w:val="24"/>
          <w:szCs w:val="24"/>
          <w:u w:val="single"/>
        </w:rPr>
        <w:t>in originale</w:t>
      </w:r>
      <w:r w:rsidRPr="00C1566B">
        <w:rPr>
          <w:rFonts w:ascii="Titillium Up" w:hAnsi="Titillium Up"/>
          <w:sz w:val="24"/>
          <w:szCs w:val="24"/>
        </w:rPr>
        <w:t xml:space="preserve"> a:</w:t>
      </w:r>
    </w:p>
    <w:p w14:paraId="23F65444" w14:textId="77777777" w:rsidR="00E06399" w:rsidRPr="00C1566B" w:rsidRDefault="00E06399" w:rsidP="00E06399">
      <w:pPr>
        <w:autoSpaceDE w:val="0"/>
        <w:autoSpaceDN w:val="0"/>
        <w:adjustRightInd w:val="0"/>
        <w:ind w:left="360"/>
        <w:jc w:val="both"/>
        <w:rPr>
          <w:rFonts w:ascii="Titillium Up" w:hAnsi="Titillium Up"/>
          <w:sz w:val="24"/>
          <w:szCs w:val="24"/>
        </w:rPr>
      </w:pPr>
      <w:r w:rsidRPr="00C1566B">
        <w:rPr>
          <w:rFonts w:ascii="Titillium Up" w:hAnsi="Titillium Up"/>
          <w:b/>
          <w:sz w:val="24"/>
          <w:szCs w:val="24"/>
        </w:rPr>
        <w:t xml:space="preserve">Aminta S.r.l. - Corso Correnti 58/A - 10136 - Torino </w:t>
      </w:r>
      <w:r w:rsidRPr="00C1566B">
        <w:rPr>
          <w:rFonts w:ascii="Titillium Up" w:hAnsi="Titillium Up"/>
          <w:sz w:val="24"/>
          <w:szCs w:val="24"/>
        </w:rPr>
        <w:t xml:space="preserve">indicando sulla busta </w:t>
      </w:r>
      <w:r w:rsidRPr="00C1566B">
        <w:rPr>
          <w:rFonts w:ascii="Titillium Up" w:hAnsi="Titillium Up"/>
          <w:b/>
          <w:sz w:val="24"/>
          <w:szCs w:val="24"/>
        </w:rPr>
        <w:t>“Convenzione UNITA’ SINDACALE“</w:t>
      </w:r>
      <w:r w:rsidRPr="00C1566B">
        <w:rPr>
          <w:rFonts w:ascii="Titillium Up" w:hAnsi="Titillium Up"/>
          <w:sz w:val="24"/>
          <w:szCs w:val="24"/>
        </w:rPr>
        <w:t xml:space="preserve">. La Società assicuratrice, una volta terminata la parte di accertamento del sinistro, mette a </w:t>
      </w:r>
      <w:r w:rsidRPr="00C1566B">
        <w:rPr>
          <w:rFonts w:ascii="Titillium Up" w:hAnsi="Titillium Up"/>
          <w:sz w:val="24"/>
          <w:szCs w:val="24"/>
        </w:rPr>
        <w:lastRenderedPageBreak/>
        <w:t>disposizione dell’Assicurato e/o Istituto di Credito l’importo determinato entro il limite del massimale convenuto, dedotta la franchigia e gli scoperti previsti in polizza, senza emissione di alcuna quietanza.</w:t>
      </w:r>
    </w:p>
    <w:p w14:paraId="3C0B8A0C" w14:textId="77777777" w:rsidR="00E06399" w:rsidRPr="00C1566B" w:rsidRDefault="00E06399" w:rsidP="00E06399">
      <w:pPr>
        <w:autoSpaceDE w:val="0"/>
        <w:autoSpaceDN w:val="0"/>
        <w:adjustRightInd w:val="0"/>
        <w:ind w:left="360"/>
        <w:jc w:val="both"/>
        <w:rPr>
          <w:rFonts w:ascii="Titillium Up" w:hAnsi="Titillium Up"/>
          <w:sz w:val="24"/>
          <w:szCs w:val="24"/>
        </w:rPr>
      </w:pPr>
      <w:r w:rsidRPr="00C1566B">
        <w:rPr>
          <w:rFonts w:ascii="Titillium Up" w:hAnsi="Titillium Up"/>
          <w:sz w:val="24"/>
          <w:szCs w:val="24"/>
        </w:rPr>
        <w:t xml:space="preserve">Con la riscossione dello stesso da parte dell’Assicurato, </w:t>
      </w:r>
      <w:smartTag w:uri="urn:schemas-microsoft-com:office:smarttags" w:element="PersonName">
        <w:smartTagPr>
          <w:attr w:name="ProductID" w:val="La Societ￠"/>
        </w:smartTagPr>
        <w:r w:rsidRPr="00C1566B">
          <w:rPr>
            <w:rFonts w:ascii="Titillium Up" w:hAnsi="Titillium Up"/>
            <w:sz w:val="24"/>
            <w:szCs w:val="24"/>
          </w:rPr>
          <w:t>la Società</w:t>
        </w:r>
      </w:smartTag>
      <w:r w:rsidRPr="00C1566B">
        <w:rPr>
          <w:rFonts w:ascii="Titillium Up" w:hAnsi="Titillium Up"/>
          <w:sz w:val="24"/>
          <w:szCs w:val="24"/>
        </w:rPr>
        <w:t xml:space="preserve"> esaurisce ogni suo obbligo in dipendenza del sinistro stesso.</w:t>
      </w:r>
    </w:p>
    <w:p w14:paraId="21BBC3EE" w14:textId="77777777" w:rsidR="00E06399" w:rsidRPr="00C1566B" w:rsidRDefault="00E06399" w:rsidP="00E06399">
      <w:pPr>
        <w:autoSpaceDE w:val="0"/>
        <w:autoSpaceDN w:val="0"/>
        <w:adjustRightInd w:val="0"/>
        <w:ind w:left="360"/>
        <w:jc w:val="both"/>
        <w:rPr>
          <w:rFonts w:ascii="Titillium Up" w:hAnsi="Titillium Up"/>
          <w:sz w:val="24"/>
          <w:szCs w:val="24"/>
        </w:rPr>
      </w:pPr>
      <w:r w:rsidRPr="00C1566B">
        <w:rPr>
          <w:rFonts w:ascii="Titillium Up" w:hAnsi="Titillium Up"/>
          <w:sz w:val="24"/>
          <w:szCs w:val="24"/>
        </w:rPr>
        <w:t>Nel caso di terzi responsabili, il pagamento del sinistro avverrà dopo che l’Istituto di Credito stesso abbia esperito un procedimento esecutivo contro il terzo responsabile.</w:t>
      </w:r>
    </w:p>
    <w:p w14:paraId="3B584592" w14:textId="77777777" w:rsidR="00E06399" w:rsidRPr="00C1566B" w:rsidRDefault="00E06399" w:rsidP="00E06399">
      <w:pPr>
        <w:autoSpaceDE w:val="0"/>
        <w:autoSpaceDN w:val="0"/>
        <w:adjustRightInd w:val="0"/>
        <w:ind w:left="360"/>
        <w:jc w:val="both"/>
        <w:rPr>
          <w:rFonts w:ascii="Titillium Up" w:hAnsi="Titillium Up"/>
          <w:sz w:val="24"/>
          <w:szCs w:val="24"/>
        </w:rPr>
      </w:pPr>
      <w:r w:rsidRPr="00C1566B">
        <w:rPr>
          <w:rFonts w:ascii="Titillium Up" w:hAnsi="Titillium Up"/>
          <w:sz w:val="24"/>
          <w:szCs w:val="24"/>
        </w:rPr>
        <w:t>Nel caso di opposizione di questo ultimo, il pagamento avverrà dopo il passaggio in giudicato della sentenza che riconosce totalmente, o parzialmente, infondata l’opposizione stessa.</w:t>
      </w:r>
    </w:p>
    <w:p w14:paraId="4471D026" w14:textId="77777777" w:rsidR="00E06399" w:rsidRPr="00C1566B" w:rsidRDefault="00E06399" w:rsidP="00E06399">
      <w:pPr>
        <w:autoSpaceDE w:val="0"/>
        <w:autoSpaceDN w:val="0"/>
        <w:adjustRightInd w:val="0"/>
        <w:ind w:left="360"/>
        <w:jc w:val="both"/>
        <w:rPr>
          <w:rFonts w:ascii="Titillium Up" w:hAnsi="Titillium Up"/>
          <w:sz w:val="24"/>
          <w:szCs w:val="24"/>
        </w:rPr>
      </w:pPr>
      <w:r w:rsidRPr="00C1566B">
        <w:rPr>
          <w:rFonts w:ascii="Titillium Up" w:hAnsi="Titillium Up"/>
          <w:sz w:val="24"/>
          <w:szCs w:val="24"/>
        </w:rPr>
        <w:t>La Società, prima del pagamento del sinistro, ha facoltà di chiedere il rapporto ispettivo redatto dall’Istituto di Credito e di raccogliere tutte le informazioni ritenute necessarie.</w:t>
      </w:r>
    </w:p>
    <w:p w14:paraId="5D4B2109" w14:textId="77777777" w:rsidR="00E06399" w:rsidRPr="00C1566B" w:rsidRDefault="00E06399" w:rsidP="00E06399">
      <w:pPr>
        <w:ind w:left="360"/>
        <w:jc w:val="both"/>
        <w:rPr>
          <w:rFonts w:ascii="Titillium Up" w:hAnsi="Titillium Up"/>
          <w:color w:val="000000"/>
          <w:sz w:val="24"/>
          <w:szCs w:val="24"/>
        </w:rPr>
      </w:pPr>
      <w:r w:rsidRPr="00C1566B">
        <w:rPr>
          <w:rFonts w:ascii="Titillium Up" w:hAnsi="Titillium Up"/>
          <w:color w:val="000000"/>
          <w:sz w:val="24"/>
          <w:szCs w:val="24"/>
        </w:rPr>
        <w:t>L'Assicurato è tenuto a rendere tutte le informazioni e l'assistenza del caso, in particolare:</w:t>
      </w:r>
    </w:p>
    <w:p w14:paraId="263F514E" w14:textId="77777777" w:rsidR="00E06399" w:rsidRPr="00C1566B" w:rsidRDefault="00E06399" w:rsidP="00E06399">
      <w:pPr>
        <w:pStyle w:val="Corpodeltesto21"/>
        <w:numPr>
          <w:ilvl w:val="0"/>
          <w:numId w:val="45"/>
        </w:numPr>
        <w:tabs>
          <w:tab w:val="left" w:pos="360"/>
        </w:tabs>
        <w:overflowPunct/>
        <w:autoSpaceDE/>
        <w:autoSpaceDN/>
        <w:adjustRightInd/>
        <w:textAlignment w:val="auto"/>
        <w:rPr>
          <w:rFonts w:ascii="Titillium Up" w:hAnsi="Titillium Up"/>
          <w:color w:val="000000"/>
          <w:szCs w:val="24"/>
        </w:rPr>
      </w:pPr>
      <w:r w:rsidRPr="00C1566B">
        <w:rPr>
          <w:rFonts w:ascii="Titillium Up" w:hAnsi="Titillium Up"/>
          <w:color w:val="000000"/>
          <w:szCs w:val="24"/>
        </w:rPr>
        <w:t>La denuncia in forma scritta dovrà contenere tutti gli elementi disponibili utili alla comprensione ed individuazione dell’evento.</w:t>
      </w:r>
    </w:p>
    <w:p w14:paraId="661EDA8D" w14:textId="77777777" w:rsidR="00E06399" w:rsidRPr="00C1566B" w:rsidRDefault="00E06399" w:rsidP="00E06399">
      <w:pPr>
        <w:pStyle w:val="Corpodeltesto21"/>
        <w:numPr>
          <w:ilvl w:val="0"/>
          <w:numId w:val="45"/>
        </w:numPr>
        <w:tabs>
          <w:tab w:val="left" w:pos="360"/>
        </w:tabs>
        <w:overflowPunct/>
        <w:autoSpaceDE/>
        <w:autoSpaceDN/>
        <w:adjustRightInd/>
        <w:textAlignment w:val="auto"/>
        <w:rPr>
          <w:rFonts w:ascii="Titillium Up" w:hAnsi="Titillium Up"/>
          <w:szCs w:val="24"/>
        </w:rPr>
      </w:pPr>
      <w:r w:rsidRPr="00C1566B">
        <w:rPr>
          <w:rFonts w:ascii="Titillium Up" w:hAnsi="Titillium Up"/>
          <w:szCs w:val="24"/>
        </w:rPr>
        <w:t xml:space="preserve">L’Assicurato è tenuto a trasmettere </w:t>
      </w:r>
      <w:r w:rsidRPr="00C1566B">
        <w:rPr>
          <w:rFonts w:ascii="Titillium Up" w:hAnsi="Titillium Up"/>
          <w:szCs w:val="24"/>
          <w:u w:val="single"/>
        </w:rPr>
        <w:t>entro 15 giorni</w:t>
      </w:r>
      <w:r w:rsidRPr="00C1566B">
        <w:rPr>
          <w:rFonts w:ascii="Titillium Up" w:hAnsi="Titillium Up"/>
          <w:szCs w:val="24"/>
        </w:rPr>
        <w:t xml:space="preserve"> dal loro ricevimento tutti i documenti giudiziali e le altre comunicazioni inerenti il sinistro.</w:t>
      </w:r>
    </w:p>
    <w:p w14:paraId="48B33C6C" w14:textId="77777777" w:rsidR="00E06399" w:rsidRPr="00C1566B" w:rsidRDefault="00C1566B" w:rsidP="00E06399">
      <w:pPr>
        <w:ind w:left="360"/>
        <w:jc w:val="both"/>
        <w:rPr>
          <w:rFonts w:ascii="Titillium Up" w:hAnsi="Titillium Up"/>
          <w:sz w:val="24"/>
          <w:szCs w:val="24"/>
        </w:rPr>
      </w:pPr>
      <w:r w:rsidRPr="00C1566B">
        <w:rPr>
          <w:rFonts w:ascii="Titillium Up" w:hAnsi="Titillium Up"/>
          <w:sz w:val="24"/>
          <w:szCs w:val="24"/>
        </w:rPr>
        <w:t>L’inosservanza degli obblighi suddetti</w:t>
      </w:r>
      <w:r w:rsidR="00E06399" w:rsidRPr="00C1566B">
        <w:rPr>
          <w:rFonts w:ascii="Titillium Up" w:hAnsi="Titillium Up"/>
          <w:sz w:val="24"/>
          <w:szCs w:val="24"/>
        </w:rPr>
        <w:t xml:space="preserve"> </w:t>
      </w:r>
      <w:r w:rsidR="00E06399" w:rsidRPr="00C1566B">
        <w:rPr>
          <w:rFonts w:ascii="Titillium Up" w:hAnsi="Titillium Up"/>
          <w:sz w:val="24"/>
          <w:szCs w:val="24"/>
          <w:u w:val="single"/>
        </w:rPr>
        <w:t>può essere causa di reiezione della richiesta di indennizzo e di inapplicabilità del disposto contrattuale</w:t>
      </w:r>
      <w:r w:rsidR="00E06399" w:rsidRPr="00C1566B">
        <w:rPr>
          <w:rFonts w:ascii="Titillium Up" w:hAnsi="Titillium Up"/>
          <w:sz w:val="24"/>
          <w:szCs w:val="24"/>
        </w:rPr>
        <w:t>; negli altri casi comporta la riduzione dell’indennizzo in ragione del pregiudizio sofferto dalla Compagnia.</w:t>
      </w:r>
    </w:p>
    <w:p w14:paraId="1F21D5FA" w14:textId="77777777" w:rsidR="002A742E" w:rsidRDefault="002A742E" w:rsidP="00F05BEF">
      <w:pPr>
        <w:ind w:left="360"/>
        <w:jc w:val="both"/>
        <w:rPr>
          <w:rFonts w:ascii="Arial" w:hAnsi="Arial"/>
          <w:sz w:val="24"/>
          <w:szCs w:val="24"/>
        </w:rPr>
      </w:pPr>
    </w:p>
    <w:p w14:paraId="701A8A05" w14:textId="77777777" w:rsidR="00E06399" w:rsidRDefault="00E06399" w:rsidP="00F05BEF">
      <w:pPr>
        <w:ind w:left="360"/>
        <w:jc w:val="both"/>
        <w:rPr>
          <w:rFonts w:ascii="Arial" w:hAnsi="Arial"/>
          <w:sz w:val="24"/>
          <w:szCs w:val="24"/>
        </w:rPr>
      </w:pPr>
    </w:p>
    <w:p w14:paraId="452DD67B" w14:textId="77777777" w:rsidR="00F05BEF" w:rsidRPr="009857C8" w:rsidRDefault="00F05BEF" w:rsidP="009857C8">
      <w:pPr>
        <w:pStyle w:val="Paragrafoelenco"/>
        <w:widowControl w:val="0"/>
        <w:numPr>
          <w:ilvl w:val="0"/>
          <w:numId w:val="33"/>
        </w:numPr>
        <w:suppressAutoHyphens/>
        <w:autoSpaceDE w:val="0"/>
        <w:autoSpaceDN w:val="0"/>
        <w:adjustRightInd w:val="0"/>
        <w:spacing w:after="0" w:line="240" w:lineRule="auto"/>
        <w:ind w:left="284"/>
        <w:jc w:val="both"/>
        <w:textAlignment w:val="center"/>
        <w:rPr>
          <w:rFonts w:ascii="Titillium Up" w:eastAsia="Times New Roman" w:hAnsi="Titillium Up" w:cs="Arial"/>
          <w:b/>
          <w:color w:val="0070C0"/>
          <w:sz w:val="34"/>
          <w:szCs w:val="34"/>
          <w:u w:val="single"/>
          <w:lang w:eastAsia="it-IT"/>
        </w:rPr>
      </w:pPr>
      <w:bookmarkStart w:id="36" w:name="_Toc373060638"/>
      <w:bookmarkStart w:id="37" w:name="_Toc373394641"/>
      <w:bookmarkStart w:id="38" w:name="_Toc373398564"/>
      <w:bookmarkStart w:id="39" w:name="_Toc531101124"/>
      <w:bookmarkEnd w:id="16"/>
      <w:bookmarkEnd w:id="17"/>
      <w:r w:rsidRPr="009857C8">
        <w:rPr>
          <w:rFonts w:ascii="Titillium Up" w:eastAsia="Times New Roman" w:hAnsi="Titillium Up" w:cs="Arial"/>
          <w:b/>
          <w:color w:val="0070C0"/>
          <w:sz w:val="34"/>
          <w:szCs w:val="34"/>
          <w:u w:val="single"/>
          <w:lang w:eastAsia="it-IT"/>
        </w:rPr>
        <w:t>R.C. FAMIGLIA</w:t>
      </w:r>
      <w:bookmarkEnd w:id="36"/>
      <w:bookmarkEnd w:id="37"/>
      <w:bookmarkEnd w:id="38"/>
      <w:bookmarkEnd w:id="39"/>
    </w:p>
    <w:p w14:paraId="0A89FF7C" w14:textId="77777777" w:rsidR="00E0639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40" w:name="_Toc373060639"/>
      <w:bookmarkStart w:id="41" w:name="_Toc373394642"/>
      <w:bookmarkStart w:id="42" w:name="_Toc373398565"/>
      <w:bookmarkStart w:id="43" w:name="_Toc531101125"/>
    </w:p>
    <w:p w14:paraId="6B1AE081" w14:textId="77777777" w:rsidR="00F05BEF" w:rsidRPr="00512EF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r>
        <w:rPr>
          <w:rFonts w:ascii="Titillium Up" w:hAnsi="Titillium Up" w:cs="Arial"/>
          <w:b/>
          <w:bCs/>
          <w:caps/>
          <w:color w:val="0070C0"/>
          <w:w w:val="94"/>
          <w:sz w:val="28"/>
          <w:szCs w:val="28"/>
        </w:rPr>
        <w:t>4</w:t>
      </w:r>
      <w:r w:rsidR="00F05BEF" w:rsidRPr="00512EF9">
        <w:rPr>
          <w:rFonts w:ascii="Titillium Up" w:hAnsi="Titillium Up" w:cs="Arial"/>
          <w:b/>
          <w:bCs/>
          <w:caps/>
          <w:color w:val="0070C0"/>
          <w:w w:val="94"/>
          <w:sz w:val="28"/>
          <w:szCs w:val="28"/>
        </w:rPr>
        <w:t>.1  Oggetto dell’assicurazione</w:t>
      </w:r>
      <w:bookmarkEnd w:id="40"/>
      <w:bookmarkEnd w:id="41"/>
      <w:bookmarkEnd w:id="42"/>
      <w:bookmarkEnd w:id="43"/>
    </w:p>
    <w:p w14:paraId="0123B85E" w14:textId="77777777" w:rsidR="00F05BEF" w:rsidRPr="00804A17" w:rsidRDefault="00F05BEF" w:rsidP="00F05BEF">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sz w:val="24"/>
          <w:szCs w:val="24"/>
        </w:rPr>
        <w:t>La garanzia opera per la responsabilità civile dell’iscritto e del suo nucleo famigliare per i fatti verificatisi nell’ambito della sua vita privata, dalla pratica di sport in genere ( escluse le competizioni agonistiche e gli sport pericolosi), derivanti dalla conduzione di locali adibiti esclusivamente</w:t>
      </w:r>
      <w:r w:rsidRPr="00804A17">
        <w:rPr>
          <w:rFonts w:ascii="Titillium Up" w:hAnsi="Titillium Up"/>
          <w:bCs/>
          <w:iCs/>
          <w:sz w:val="24"/>
          <w:szCs w:val="24"/>
        </w:rPr>
        <w:t xml:space="preserve"> a civile abitazione in cui l’iscritto e il suo nucleo familiare dimora abitualmente o saltuariamente nonché da proprietà o uso di apparecchi domestici (comprese antenne radiotelevisive) e dell’arredamento. Sono compresi i lavori di ordinaria manutenzione </w:t>
      </w:r>
      <w:proofErr w:type="spellStart"/>
      <w:r w:rsidRPr="00804A17">
        <w:rPr>
          <w:rFonts w:ascii="Titillium Up" w:hAnsi="Titillium Up"/>
          <w:bCs/>
          <w:iCs/>
          <w:sz w:val="24"/>
          <w:szCs w:val="24"/>
        </w:rPr>
        <w:t>purchè</w:t>
      </w:r>
      <w:proofErr w:type="spellEnd"/>
      <w:r w:rsidRPr="00804A17">
        <w:rPr>
          <w:rFonts w:ascii="Titillium Up" w:hAnsi="Titillium Up"/>
          <w:bCs/>
          <w:iCs/>
          <w:sz w:val="24"/>
          <w:szCs w:val="24"/>
        </w:rPr>
        <w:t xml:space="preserve"> effettuati da ditte in regola per l’esecuzione dei lavori effettuati. Sono compresi i danni causati da proprietà, possesso, di animali domestici con un limite di indennizzo pari a € 5.000,00 e una franchigia fissa di € 500,00 a carico dell’assicurato. La garanzia opera anche per la responsabilità derivante dalla proprietà di parchi, giardini alberi e aree scoperte impianti sportivi, garage </w:t>
      </w:r>
      <w:proofErr w:type="spellStart"/>
      <w:r w:rsidRPr="00804A17">
        <w:rPr>
          <w:rFonts w:ascii="Titillium Up" w:hAnsi="Titillium Up"/>
          <w:bCs/>
          <w:iCs/>
          <w:sz w:val="24"/>
          <w:szCs w:val="24"/>
        </w:rPr>
        <w:t>purchè</w:t>
      </w:r>
      <w:proofErr w:type="spellEnd"/>
      <w:r w:rsidRPr="00804A17">
        <w:rPr>
          <w:rFonts w:ascii="Titillium Up" w:hAnsi="Titillium Up"/>
          <w:bCs/>
          <w:iCs/>
          <w:sz w:val="24"/>
          <w:szCs w:val="24"/>
        </w:rPr>
        <w:t xml:space="preserve"> di pertinenza del fabbricato. Sono compresi i danni causati a cose di terzi da incendio esplosione o scoppio del fabbricato con un limite di indennizzo di € 25.000,00 per anno assicurativo. Relativamente ai danni derivanti da spargimento d’acqua conseguente a occlusione o rottura accidentale di tubazioni la garanzia è prestata con un limite di indennizzo per sinistro pari a € 10.000,00 uno scoperto pari al 10% del danno e una franchigia di € 500,00 per ogni sinistro.</w:t>
      </w:r>
    </w:p>
    <w:p w14:paraId="5264993B" w14:textId="77777777" w:rsidR="00603D2F" w:rsidRPr="005028E9" w:rsidRDefault="00603D2F" w:rsidP="00F05BEF">
      <w:pPr>
        <w:autoSpaceDE w:val="0"/>
        <w:autoSpaceDN w:val="0"/>
        <w:adjustRightInd w:val="0"/>
        <w:jc w:val="both"/>
        <w:rPr>
          <w:rFonts w:ascii="Arial" w:hAnsi="Arial"/>
          <w:bCs/>
          <w:iCs/>
          <w:sz w:val="24"/>
          <w:szCs w:val="24"/>
          <w:u w:val="single"/>
        </w:rPr>
      </w:pPr>
    </w:p>
    <w:p w14:paraId="78575748" w14:textId="77777777" w:rsidR="00F05BEF" w:rsidRPr="00512EF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44" w:name="_Toc373060640"/>
      <w:bookmarkStart w:id="45" w:name="_Toc373394643"/>
      <w:bookmarkStart w:id="46" w:name="_Toc373398566"/>
      <w:bookmarkStart w:id="47" w:name="_Toc531101126"/>
      <w:r>
        <w:rPr>
          <w:rFonts w:ascii="Titillium Up" w:hAnsi="Titillium Up" w:cs="Arial"/>
          <w:b/>
          <w:bCs/>
          <w:caps/>
          <w:color w:val="0070C0"/>
          <w:w w:val="94"/>
          <w:sz w:val="28"/>
          <w:szCs w:val="28"/>
        </w:rPr>
        <w:t>4</w:t>
      </w:r>
      <w:r w:rsidR="00F05BEF" w:rsidRPr="00512EF9">
        <w:rPr>
          <w:rFonts w:ascii="Titillium Up" w:hAnsi="Titillium Up" w:cs="Arial"/>
          <w:b/>
          <w:bCs/>
          <w:caps/>
          <w:color w:val="0070C0"/>
          <w:w w:val="94"/>
          <w:sz w:val="28"/>
          <w:szCs w:val="28"/>
        </w:rPr>
        <w:t>.2  Massimale</w:t>
      </w:r>
      <w:bookmarkEnd w:id="44"/>
      <w:bookmarkEnd w:id="45"/>
      <w:bookmarkEnd w:id="46"/>
      <w:bookmarkEnd w:id="47"/>
    </w:p>
    <w:p w14:paraId="49BC4B35"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 xml:space="preserve">La garanzia è prestata con massimale di </w:t>
      </w:r>
      <w:r w:rsidRPr="00804A17">
        <w:rPr>
          <w:rFonts w:ascii="Titillium Up" w:hAnsi="Titillium Up"/>
          <w:b/>
          <w:iCs/>
          <w:sz w:val="24"/>
          <w:szCs w:val="24"/>
        </w:rPr>
        <w:t>€ 250.000,00</w:t>
      </w:r>
      <w:r w:rsidRPr="00804A17">
        <w:rPr>
          <w:rFonts w:ascii="Titillium Up" w:hAnsi="Titillium Up"/>
          <w:bCs/>
          <w:iCs/>
          <w:sz w:val="24"/>
          <w:szCs w:val="24"/>
        </w:rPr>
        <w:t xml:space="preserve"> con un limite di indennizzo € 50.000,00 per sinistro e uno scoperto pari al 10% del danno e una franchigia fissa di € 250,00.</w:t>
      </w:r>
    </w:p>
    <w:p w14:paraId="579E1961" w14:textId="77777777" w:rsidR="00F05BEF" w:rsidRPr="005028E9" w:rsidRDefault="00F05BEF" w:rsidP="00F05BEF">
      <w:pPr>
        <w:autoSpaceDE w:val="0"/>
        <w:autoSpaceDN w:val="0"/>
        <w:adjustRightInd w:val="0"/>
        <w:jc w:val="both"/>
        <w:rPr>
          <w:rFonts w:ascii="Arial" w:hAnsi="Arial"/>
          <w:sz w:val="24"/>
          <w:szCs w:val="24"/>
          <w:u w:val="single"/>
        </w:rPr>
      </w:pPr>
    </w:p>
    <w:p w14:paraId="67407202" w14:textId="77777777" w:rsidR="00F05BEF" w:rsidRPr="00512EF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48" w:name="_Toc373060641"/>
      <w:bookmarkStart w:id="49" w:name="_Toc373394644"/>
      <w:bookmarkStart w:id="50" w:name="_Toc373398567"/>
      <w:bookmarkStart w:id="51" w:name="_Toc531101127"/>
      <w:r>
        <w:rPr>
          <w:rFonts w:ascii="Titillium Up" w:hAnsi="Titillium Up" w:cs="Arial"/>
          <w:b/>
          <w:bCs/>
          <w:caps/>
          <w:color w:val="0070C0"/>
          <w:w w:val="94"/>
          <w:sz w:val="28"/>
          <w:szCs w:val="28"/>
        </w:rPr>
        <w:t>4</w:t>
      </w:r>
      <w:r w:rsidR="00F05BEF" w:rsidRPr="00512EF9">
        <w:rPr>
          <w:rFonts w:ascii="Titillium Up" w:hAnsi="Titillium Up" w:cs="Arial"/>
          <w:b/>
          <w:bCs/>
          <w:caps/>
          <w:color w:val="0070C0"/>
          <w:w w:val="94"/>
          <w:sz w:val="28"/>
          <w:szCs w:val="28"/>
        </w:rPr>
        <w:t>.3  Delimitazioni</w:t>
      </w:r>
      <w:bookmarkEnd w:id="48"/>
      <w:bookmarkEnd w:id="49"/>
      <w:bookmarkEnd w:id="50"/>
      <w:bookmarkEnd w:id="51"/>
    </w:p>
    <w:p w14:paraId="2E62936A"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 xml:space="preserve">Persone non considerate terzi: L’assicurato, il coniuge o il convivente, i genitori, i figli, nonché qualsiasi altro parente od affine. </w:t>
      </w:r>
    </w:p>
    <w:p w14:paraId="16BE1770" w14:textId="77777777" w:rsidR="00F05BEF" w:rsidRPr="005028E9" w:rsidRDefault="00F05BEF" w:rsidP="00F05BEF">
      <w:pPr>
        <w:autoSpaceDE w:val="0"/>
        <w:autoSpaceDN w:val="0"/>
        <w:adjustRightInd w:val="0"/>
        <w:jc w:val="both"/>
        <w:rPr>
          <w:rFonts w:ascii="Arial" w:hAnsi="Arial"/>
          <w:sz w:val="24"/>
          <w:szCs w:val="24"/>
        </w:rPr>
      </w:pPr>
    </w:p>
    <w:p w14:paraId="1595D392" w14:textId="77777777" w:rsidR="00F05BEF" w:rsidRPr="00512EF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52" w:name="_Toc373060642"/>
      <w:bookmarkStart w:id="53" w:name="_Toc373394645"/>
      <w:bookmarkStart w:id="54" w:name="_Toc373398568"/>
      <w:bookmarkStart w:id="55" w:name="_Toc531101128"/>
      <w:r>
        <w:rPr>
          <w:rFonts w:ascii="Titillium Up" w:hAnsi="Titillium Up" w:cs="Arial"/>
          <w:b/>
          <w:bCs/>
          <w:caps/>
          <w:color w:val="0070C0"/>
          <w:w w:val="94"/>
          <w:sz w:val="28"/>
          <w:szCs w:val="28"/>
        </w:rPr>
        <w:t>4</w:t>
      </w:r>
      <w:r w:rsidR="00F05BEF" w:rsidRPr="00512EF9">
        <w:rPr>
          <w:rFonts w:ascii="Titillium Up" w:hAnsi="Titillium Up" w:cs="Arial"/>
          <w:b/>
          <w:bCs/>
          <w:caps/>
          <w:color w:val="0070C0"/>
          <w:w w:val="94"/>
          <w:sz w:val="28"/>
          <w:szCs w:val="28"/>
        </w:rPr>
        <w:t>.4  Esclusioni</w:t>
      </w:r>
      <w:bookmarkEnd w:id="52"/>
      <w:bookmarkEnd w:id="53"/>
      <w:bookmarkEnd w:id="54"/>
      <w:bookmarkEnd w:id="55"/>
    </w:p>
    <w:p w14:paraId="2FE23E23"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 xml:space="preserve">L'assicurazione non comprende i danni: </w:t>
      </w:r>
    </w:p>
    <w:p w14:paraId="1576A41A" w14:textId="77777777" w:rsidR="00F05BEF" w:rsidRPr="0043213A" w:rsidRDefault="00F05BEF" w:rsidP="00D04AFA">
      <w:pPr>
        <w:numPr>
          <w:ilvl w:val="0"/>
          <w:numId w:val="41"/>
        </w:numPr>
        <w:tabs>
          <w:tab w:val="left" w:pos="426"/>
        </w:tabs>
        <w:autoSpaceDE w:val="0"/>
        <w:autoSpaceDN w:val="0"/>
        <w:adjustRightInd w:val="0"/>
        <w:ind w:left="851"/>
        <w:jc w:val="both"/>
        <w:rPr>
          <w:rFonts w:ascii="Titillium Up" w:hAnsi="Titillium Up"/>
          <w:bCs/>
          <w:iCs/>
          <w:sz w:val="24"/>
          <w:szCs w:val="24"/>
        </w:rPr>
      </w:pPr>
      <w:r w:rsidRPr="0043213A">
        <w:rPr>
          <w:rFonts w:ascii="Titillium Up" w:hAnsi="Titillium Up"/>
          <w:bCs/>
          <w:iCs/>
          <w:sz w:val="24"/>
          <w:szCs w:val="24"/>
        </w:rPr>
        <w:t>derivanti da fatti penalmente perseguibili, dolo e colpa grave dell’assicurato;</w:t>
      </w:r>
    </w:p>
    <w:p w14:paraId="038235B1" w14:textId="77777777" w:rsidR="00F05BEF" w:rsidRPr="00804A17" w:rsidRDefault="00F05BEF" w:rsidP="00D04AFA">
      <w:pPr>
        <w:numPr>
          <w:ilvl w:val="0"/>
          <w:numId w:val="41"/>
        </w:numPr>
        <w:tabs>
          <w:tab w:val="left" w:pos="426"/>
        </w:tabs>
        <w:autoSpaceDE w:val="0"/>
        <w:autoSpaceDN w:val="0"/>
        <w:adjustRightInd w:val="0"/>
        <w:ind w:left="851"/>
        <w:jc w:val="both"/>
        <w:rPr>
          <w:rFonts w:ascii="Titillium Up" w:hAnsi="Titillium Up"/>
          <w:bCs/>
          <w:iCs/>
          <w:sz w:val="24"/>
          <w:szCs w:val="24"/>
        </w:rPr>
      </w:pPr>
      <w:r w:rsidRPr="00804A17">
        <w:rPr>
          <w:rFonts w:ascii="Titillium Up" w:hAnsi="Titillium Up"/>
          <w:bCs/>
          <w:iCs/>
          <w:sz w:val="24"/>
          <w:szCs w:val="24"/>
        </w:rPr>
        <w:t>derivanti dall'esercizio di attività professionali, industriali, commerciali, agricole, artigianali svolte dall’assicurato o dal suo nucleo famigliare;</w:t>
      </w:r>
    </w:p>
    <w:p w14:paraId="35527C47" w14:textId="77777777" w:rsidR="00F05BEF" w:rsidRPr="00804A17" w:rsidRDefault="00F05BEF" w:rsidP="00D04AFA">
      <w:pPr>
        <w:numPr>
          <w:ilvl w:val="0"/>
          <w:numId w:val="41"/>
        </w:numPr>
        <w:tabs>
          <w:tab w:val="left" w:pos="426"/>
        </w:tabs>
        <w:autoSpaceDE w:val="0"/>
        <w:autoSpaceDN w:val="0"/>
        <w:adjustRightInd w:val="0"/>
        <w:ind w:left="851"/>
        <w:jc w:val="both"/>
        <w:rPr>
          <w:rFonts w:ascii="Titillium Up" w:hAnsi="Titillium Up"/>
          <w:bCs/>
          <w:iCs/>
          <w:sz w:val="24"/>
          <w:szCs w:val="24"/>
        </w:rPr>
      </w:pPr>
      <w:r w:rsidRPr="00804A17">
        <w:rPr>
          <w:rFonts w:ascii="Titillium Up" w:hAnsi="Titillium Up"/>
          <w:bCs/>
          <w:iCs/>
          <w:sz w:val="24"/>
          <w:szCs w:val="24"/>
        </w:rPr>
        <w:t>derivanti da lavori di straordinaria manutenzione</w:t>
      </w:r>
      <w:r w:rsidR="00804A17">
        <w:rPr>
          <w:rFonts w:ascii="Titillium Up" w:hAnsi="Titillium Up"/>
          <w:bCs/>
          <w:iCs/>
          <w:sz w:val="24"/>
          <w:szCs w:val="24"/>
        </w:rPr>
        <w:t>;</w:t>
      </w:r>
    </w:p>
    <w:p w14:paraId="38767361" w14:textId="77777777" w:rsidR="00F05BEF" w:rsidRPr="00804A17" w:rsidRDefault="00F05BEF" w:rsidP="00D04AFA">
      <w:pPr>
        <w:numPr>
          <w:ilvl w:val="0"/>
          <w:numId w:val="41"/>
        </w:numPr>
        <w:tabs>
          <w:tab w:val="left" w:pos="426"/>
        </w:tabs>
        <w:autoSpaceDE w:val="0"/>
        <w:autoSpaceDN w:val="0"/>
        <w:adjustRightInd w:val="0"/>
        <w:ind w:left="851"/>
        <w:jc w:val="both"/>
        <w:rPr>
          <w:rFonts w:ascii="Titillium Up" w:hAnsi="Titillium Up"/>
          <w:bCs/>
          <w:iCs/>
          <w:sz w:val="24"/>
          <w:szCs w:val="24"/>
        </w:rPr>
      </w:pPr>
      <w:r w:rsidRPr="00804A17">
        <w:rPr>
          <w:rFonts w:ascii="Titillium Up" w:hAnsi="Titillium Up"/>
          <w:bCs/>
          <w:iCs/>
          <w:sz w:val="24"/>
          <w:szCs w:val="24"/>
        </w:rPr>
        <w:t>derivanti da umidità, stillicidio, insalubrità e ampliamento dei locali</w:t>
      </w:r>
      <w:r w:rsidR="00804A17">
        <w:rPr>
          <w:rFonts w:ascii="Titillium Up" w:hAnsi="Titillium Up"/>
          <w:bCs/>
          <w:iCs/>
          <w:sz w:val="24"/>
          <w:szCs w:val="24"/>
        </w:rPr>
        <w:t>;</w:t>
      </w:r>
    </w:p>
    <w:p w14:paraId="333523EF" w14:textId="77777777" w:rsidR="00F05BEF" w:rsidRPr="00804A17" w:rsidRDefault="00F05BEF" w:rsidP="00D04AFA">
      <w:pPr>
        <w:numPr>
          <w:ilvl w:val="0"/>
          <w:numId w:val="41"/>
        </w:numPr>
        <w:tabs>
          <w:tab w:val="left" w:pos="426"/>
        </w:tabs>
        <w:autoSpaceDE w:val="0"/>
        <w:autoSpaceDN w:val="0"/>
        <w:adjustRightInd w:val="0"/>
        <w:ind w:left="851"/>
        <w:jc w:val="both"/>
        <w:rPr>
          <w:rFonts w:ascii="Titillium Up" w:hAnsi="Titillium Up"/>
          <w:bCs/>
          <w:iCs/>
          <w:sz w:val="24"/>
          <w:szCs w:val="24"/>
        </w:rPr>
      </w:pPr>
      <w:r w:rsidRPr="00804A17">
        <w:rPr>
          <w:rFonts w:ascii="Titillium Up" w:hAnsi="Titillium Up"/>
          <w:bCs/>
          <w:iCs/>
          <w:sz w:val="24"/>
          <w:szCs w:val="24"/>
        </w:rPr>
        <w:t>derivanti da proprietà, possesso, uso e custodia di armi e dall'esercizio della caccia</w:t>
      </w:r>
      <w:r w:rsidR="00804A17">
        <w:rPr>
          <w:rFonts w:ascii="Titillium Up" w:hAnsi="Titillium Up"/>
          <w:bCs/>
          <w:iCs/>
          <w:sz w:val="24"/>
          <w:szCs w:val="24"/>
        </w:rPr>
        <w:t>;</w:t>
      </w:r>
    </w:p>
    <w:p w14:paraId="18B05D8B" w14:textId="77777777" w:rsidR="00F05BEF" w:rsidRPr="00804A17" w:rsidRDefault="00F05BEF" w:rsidP="00D04AFA">
      <w:pPr>
        <w:numPr>
          <w:ilvl w:val="0"/>
          <w:numId w:val="41"/>
        </w:numPr>
        <w:tabs>
          <w:tab w:val="left" w:pos="426"/>
        </w:tabs>
        <w:autoSpaceDE w:val="0"/>
        <w:autoSpaceDN w:val="0"/>
        <w:adjustRightInd w:val="0"/>
        <w:ind w:left="851"/>
        <w:jc w:val="both"/>
        <w:rPr>
          <w:rFonts w:ascii="Titillium Up" w:hAnsi="Titillium Up"/>
          <w:bCs/>
          <w:iCs/>
          <w:sz w:val="24"/>
          <w:szCs w:val="24"/>
        </w:rPr>
      </w:pPr>
      <w:r w:rsidRPr="00804A17">
        <w:rPr>
          <w:rFonts w:ascii="Titillium Up" w:hAnsi="Titillium Up"/>
          <w:bCs/>
          <w:iCs/>
          <w:sz w:val="24"/>
          <w:szCs w:val="24"/>
        </w:rPr>
        <w:t>derivanti da proprietà, possesso, uso e custodia di veicoli a motore e di natanti</w:t>
      </w:r>
      <w:r w:rsidR="00804A17">
        <w:rPr>
          <w:rFonts w:ascii="Titillium Up" w:hAnsi="Titillium Up"/>
          <w:bCs/>
          <w:iCs/>
          <w:sz w:val="24"/>
          <w:szCs w:val="24"/>
        </w:rPr>
        <w:t>;</w:t>
      </w:r>
    </w:p>
    <w:p w14:paraId="41016F8B" w14:textId="77777777" w:rsidR="00F05BEF" w:rsidRPr="00804A17" w:rsidRDefault="00F05BEF" w:rsidP="00D04AFA">
      <w:pPr>
        <w:numPr>
          <w:ilvl w:val="0"/>
          <w:numId w:val="41"/>
        </w:numPr>
        <w:tabs>
          <w:tab w:val="left" w:pos="426"/>
        </w:tabs>
        <w:autoSpaceDE w:val="0"/>
        <w:autoSpaceDN w:val="0"/>
        <w:adjustRightInd w:val="0"/>
        <w:ind w:left="851"/>
        <w:jc w:val="both"/>
        <w:rPr>
          <w:rFonts w:ascii="Titillium Up" w:hAnsi="Titillium Up"/>
          <w:bCs/>
          <w:iCs/>
          <w:sz w:val="24"/>
          <w:szCs w:val="24"/>
        </w:rPr>
      </w:pPr>
      <w:r w:rsidRPr="00804A17">
        <w:rPr>
          <w:rFonts w:ascii="Titillium Up" w:hAnsi="Titillium Up"/>
          <w:bCs/>
          <w:iCs/>
          <w:sz w:val="24"/>
          <w:szCs w:val="24"/>
        </w:rPr>
        <w:t xml:space="preserve">causati a telefoni cellulari, smartphone, videocamere, fotocamere, </w:t>
      </w:r>
      <w:proofErr w:type="spellStart"/>
      <w:r w:rsidRPr="00804A17">
        <w:rPr>
          <w:rFonts w:ascii="Titillium Up" w:hAnsi="Titillium Up"/>
          <w:bCs/>
          <w:iCs/>
          <w:sz w:val="24"/>
          <w:szCs w:val="24"/>
        </w:rPr>
        <w:t>ipod</w:t>
      </w:r>
      <w:proofErr w:type="spellEnd"/>
      <w:r w:rsidRPr="00804A17">
        <w:rPr>
          <w:rFonts w:ascii="Titillium Up" w:hAnsi="Titillium Up"/>
          <w:bCs/>
          <w:iCs/>
          <w:sz w:val="24"/>
          <w:szCs w:val="24"/>
        </w:rPr>
        <w:t>, tablet, e televisori</w:t>
      </w:r>
      <w:r w:rsidR="00804A17">
        <w:rPr>
          <w:rFonts w:ascii="Titillium Up" w:hAnsi="Titillium Up"/>
          <w:bCs/>
          <w:iCs/>
          <w:sz w:val="24"/>
          <w:szCs w:val="24"/>
        </w:rPr>
        <w:t>;</w:t>
      </w:r>
    </w:p>
    <w:p w14:paraId="6F20FD5D" w14:textId="77777777" w:rsidR="00F05BEF" w:rsidRPr="00804A17" w:rsidRDefault="00F05BEF" w:rsidP="00D04AFA">
      <w:pPr>
        <w:numPr>
          <w:ilvl w:val="0"/>
          <w:numId w:val="41"/>
        </w:numPr>
        <w:tabs>
          <w:tab w:val="left" w:pos="426"/>
        </w:tabs>
        <w:autoSpaceDE w:val="0"/>
        <w:autoSpaceDN w:val="0"/>
        <w:adjustRightInd w:val="0"/>
        <w:ind w:left="851"/>
        <w:jc w:val="both"/>
        <w:rPr>
          <w:rFonts w:ascii="Titillium Up" w:hAnsi="Titillium Up"/>
          <w:bCs/>
          <w:iCs/>
          <w:sz w:val="24"/>
          <w:szCs w:val="24"/>
        </w:rPr>
      </w:pPr>
      <w:r w:rsidRPr="00804A17">
        <w:rPr>
          <w:rFonts w:ascii="Titillium Up" w:hAnsi="Titillium Up"/>
          <w:bCs/>
          <w:iCs/>
          <w:sz w:val="24"/>
          <w:szCs w:val="24"/>
        </w:rPr>
        <w:t>da inquinamento dell’aria, dell’acqua o del suolo</w:t>
      </w:r>
      <w:r w:rsidR="00804A17">
        <w:rPr>
          <w:rFonts w:ascii="Titillium Up" w:hAnsi="Titillium Up"/>
          <w:bCs/>
          <w:iCs/>
          <w:sz w:val="24"/>
          <w:szCs w:val="24"/>
        </w:rPr>
        <w:t>;</w:t>
      </w:r>
    </w:p>
    <w:p w14:paraId="5FA4B8C4" w14:textId="77777777" w:rsidR="00F05BEF" w:rsidRPr="00804A17" w:rsidRDefault="00F05BEF" w:rsidP="00D04AFA">
      <w:pPr>
        <w:numPr>
          <w:ilvl w:val="0"/>
          <w:numId w:val="41"/>
        </w:numPr>
        <w:autoSpaceDE w:val="0"/>
        <w:autoSpaceDN w:val="0"/>
        <w:adjustRightInd w:val="0"/>
        <w:ind w:left="851"/>
        <w:jc w:val="both"/>
        <w:rPr>
          <w:rFonts w:ascii="Titillium Up" w:hAnsi="Titillium Up"/>
          <w:bCs/>
          <w:iCs/>
          <w:sz w:val="24"/>
          <w:szCs w:val="24"/>
        </w:rPr>
      </w:pPr>
      <w:r w:rsidRPr="00804A17">
        <w:rPr>
          <w:rFonts w:ascii="Titillium Up" w:hAnsi="Titillium Up"/>
          <w:bCs/>
          <w:iCs/>
          <w:sz w:val="24"/>
          <w:szCs w:val="24"/>
        </w:rPr>
        <w:t>da furto o rapina e incendio</w:t>
      </w:r>
      <w:r w:rsidR="00804A17">
        <w:rPr>
          <w:rFonts w:ascii="Titillium Up" w:hAnsi="Titillium Up"/>
          <w:bCs/>
          <w:iCs/>
          <w:sz w:val="24"/>
          <w:szCs w:val="24"/>
        </w:rPr>
        <w:t>.</w:t>
      </w:r>
    </w:p>
    <w:p w14:paraId="4D512B44" w14:textId="77777777" w:rsidR="00F05BEF" w:rsidRPr="005028E9" w:rsidRDefault="00F05BEF" w:rsidP="00D04AFA">
      <w:pPr>
        <w:autoSpaceDE w:val="0"/>
        <w:autoSpaceDN w:val="0"/>
        <w:adjustRightInd w:val="0"/>
        <w:ind w:left="851"/>
        <w:jc w:val="both"/>
        <w:rPr>
          <w:rFonts w:ascii="Arial" w:hAnsi="Arial"/>
          <w:sz w:val="24"/>
          <w:szCs w:val="24"/>
        </w:rPr>
      </w:pPr>
    </w:p>
    <w:p w14:paraId="3DF5B768" w14:textId="77777777" w:rsidR="00F05BEF" w:rsidRPr="00512EF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56" w:name="_Toc373060643"/>
      <w:bookmarkStart w:id="57" w:name="_Toc373394646"/>
      <w:bookmarkStart w:id="58" w:name="_Toc373398569"/>
      <w:bookmarkStart w:id="59" w:name="_Toc531101129"/>
      <w:r>
        <w:rPr>
          <w:rFonts w:ascii="Titillium Up" w:hAnsi="Titillium Up" w:cs="Arial"/>
          <w:b/>
          <w:bCs/>
          <w:caps/>
          <w:color w:val="0070C0"/>
          <w:w w:val="94"/>
          <w:sz w:val="28"/>
          <w:szCs w:val="28"/>
        </w:rPr>
        <w:t>4</w:t>
      </w:r>
      <w:r w:rsidR="00F05BEF" w:rsidRPr="00512EF9">
        <w:rPr>
          <w:rFonts w:ascii="Titillium Up" w:hAnsi="Titillium Up" w:cs="Arial"/>
          <w:b/>
          <w:bCs/>
          <w:caps/>
          <w:color w:val="0070C0"/>
          <w:w w:val="94"/>
          <w:sz w:val="28"/>
          <w:szCs w:val="28"/>
        </w:rPr>
        <w:t>.5  Validità della garanzia ed estensione territoriale</w:t>
      </w:r>
      <w:bookmarkEnd w:id="56"/>
      <w:bookmarkEnd w:id="57"/>
      <w:bookmarkEnd w:id="58"/>
      <w:bookmarkEnd w:id="59"/>
    </w:p>
    <w:p w14:paraId="1689D33F"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L’assicurazione vale per i sinistri verificatisi e denunciati nel corso di validità del contratto avvenuti in Italia.</w:t>
      </w:r>
    </w:p>
    <w:p w14:paraId="4079CFC9" w14:textId="77777777" w:rsidR="00F05BEF" w:rsidRPr="005028E9" w:rsidRDefault="00F05BEF" w:rsidP="00F05BEF">
      <w:pPr>
        <w:autoSpaceDE w:val="0"/>
        <w:autoSpaceDN w:val="0"/>
        <w:adjustRightInd w:val="0"/>
        <w:ind w:firstLine="709"/>
        <w:jc w:val="both"/>
        <w:rPr>
          <w:rFonts w:ascii="Arial" w:hAnsi="Arial"/>
          <w:sz w:val="24"/>
          <w:szCs w:val="24"/>
        </w:rPr>
      </w:pPr>
    </w:p>
    <w:p w14:paraId="1C2518D4" w14:textId="77777777" w:rsidR="00F05BEF" w:rsidRPr="00512EF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60" w:name="_Toc373060644"/>
      <w:bookmarkStart w:id="61" w:name="_Toc373394647"/>
      <w:bookmarkStart w:id="62" w:name="_Toc373398570"/>
      <w:bookmarkStart w:id="63" w:name="_Toc531101130"/>
      <w:r>
        <w:rPr>
          <w:rFonts w:ascii="Titillium Up" w:hAnsi="Titillium Up" w:cs="Arial"/>
          <w:b/>
          <w:bCs/>
          <w:caps/>
          <w:color w:val="0070C0"/>
          <w:w w:val="94"/>
          <w:sz w:val="28"/>
          <w:szCs w:val="28"/>
        </w:rPr>
        <w:t>4</w:t>
      </w:r>
      <w:r w:rsidR="00F05BEF" w:rsidRPr="00512EF9">
        <w:rPr>
          <w:rFonts w:ascii="Titillium Up" w:hAnsi="Titillium Up" w:cs="Arial"/>
          <w:b/>
          <w:bCs/>
          <w:caps/>
          <w:color w:val="0070C0"/>
          <w:w w:val="94"/>
          <w:sz w:val="28"/>
          <w:szCs w:val="28"/>
        </w:rPr>
        <w:t>.6  Spese Legali</w:t>
      </w:r>
      <w:bookmarkEnd w:id="60"/>
      <w:bookmarkEnd w:id="61"/>
      <w:bookmarkEnd w:id="62"/>
      <w:bookmarkEnd w:id="63"/>
      <w:r w:rsidR="00F05BEF" w:rsidRPr="00512EF9">
        <w:rPr>
          <w:rFonts w:ascii="Titillium Up" w:hAnsi="Titillium Up" w:cs="Arial"/>
          <w:b/>
          <w:bCs/>
          <w:caps/>
          <w:color w:val="0070C0"/>
          <w:w w:val="94"/>
          <w:sz w:val="28"/>
          <w:szCs w:val="28"/>
        </w:rPr>
        <w:t xml:space="preserve"> </w:t>
      </w:r>
    </w:p>
    <w:p w14:paraId="56364971"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 xml:space="preserve">La Società assume la gestione delle vertenze in sede civile secondo quanto previsto dall’articolo 1917 c.c.; La Società non riconosce spese per legali o tecnici che non siano da essa designati e non risponde di multe o ammende né delle spese di giustizia penale. </w:t>
      </w:r>
    </w:p>
    <w:p w14:paraId="7BAC5860" w14:textId="77777777" w:rsidR="00F05BEF" w:rsidRDefault="00F05BEF" w:rsidP="00F05BEF">
      <w:pPr>
        <w:autoSpaceDE w:val="0"/>
        <w:autoSpaceDN w:val="0"/>
        <w:adjustRightInd w:val="0"/>
        <w:ind w:left="426"/>
        <w:jc w:val="both"/>
        <w:rPr>
          <w:rFonts w:ascii="Arial" w:hAnsi="Arial"/>
          <w:sz w:val="24"/>
          <w:szCs w:val="24"/>
        </w:rPr>
      </w:pPr>
    </w:p>
    <w:p w14:paraId="1DC76366" w14:textId="77777777" w:rsidR="00F05BEF" w:rsidRPr="00512EF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64" w:name="_Toc531101131"/>
      <w:r>
        <w:rPr>
          <w:rFonts w:ascii="Titillium Up" w:hAnsi="Titillium Up" w:cs="Arial"/>
          <w:b/>
          <w:bCs/>
          <w:caps/>
          <w:color w:val="0070C0"/>
          <w:w w:val="94"/>
          <w:sz w:val="28"/>
          <w:szCs w:val="28"/>
        </w:rPr>
        <w:t>4</w:t>
      </w:r>
      <w:r w:rsidR="00F05BEF" w:rsidRPr="00512EF9">
        <w:rPr>
          <w:rFonts w:ascii="Titillium Up" w:hAnsi="Titillium Up" w:cs="Arial"/>
          <w:b/>
          <w:bCs/>
          <w:caps/>
          <w:color w:val="0070C0"/>
          <w:w w:val="94"/>
          <w:sz w:val="28"/>
          <w:szCs w:val="28"/>
        </w:rPr>
        <w:t>.7  Obblighi dell’assicurato in caso di sinistro</w:t>
      </w:r>
      <w:bookmarkEnd w:id="64"/>
    </w:p>
    <w:p w14:paraId="053CF1BC"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 xml:space="preserve">In caso di sinistro di Responsabilità civile della Famiglia, l’assicurato deve </w:t>
      </w:r>
      <w:r w:rsidRPr="0043213A">
        <w:rPr>
          <w:rFonts w:ascii="Titillium Up" w:hAnsi="Titillium Up"/>
          <w:bCs/>
          <w:iCs/>
          <w:sz w:val="24"/>
          <w:szCs w:val="24"/>
        </w:rPr>
        <w:t xml:space="preserve">denunciare il sinistro </w:t>
      </w:r>
      <w:r w:rsidR="00603D2F" w:rsidRPr="0043213A">
        <w:rPr>
          <w:rFonts w:ascii="Titillium Up" w:hAnsi="Titillium Up"/>
          <w:bCs/>
          <w:iCs/>
          <w:sz w:val="24"/>
          <w:szCs w:val="24"/>
        </w:rPr>
        <w:t xml:space="preserve">entro </w:t>
      </w:r>
      <w:r w:rsidR="00603D2F" w:rsidRPr="0043213A">
        <w:rPr>
          <w:rFonts w:ascii="Titillium Up" w:hAnsi="Titillium Up"/>
          <w:b/>
          <w:iCs/>
          <w:sz w:val="24"/>
          <w:szCs w:val="24"/>
        </w:rPr>
        <w:t>10 giorni</w:t>
      </w:r>
      <w:r w:rsidR="00603D2F" w:rsidRPr="0043213A">
        <w:rPr>
          <w:rFonts w:ascii="Titillium Up" w:hAnsi="Titillium Up"/>
          <w:bCs/>
          <w:iCs/>
          <w:sz w:val="24"/>
          <w:szCs w:val="24"/>
        </w:rPr>
        <w:t xml:space="preserve"> </w:t>
      </w:r>
      <w:r w:rsidRPr="0043213A">
        <w:rPr>
          <w:rFonts w:ascii="Titillium Up" w:hAnsi="Titillium Up"/>
          <w:bCs/>
          <w:iCs/>
          <w:sz w:val="24"/>
          <w:szCs w:val="24"/>
        </w:rPr>
        <w:t>da quando ne è venuto a conoscenza</w:t>
      </w:r>
      <w:r w:rsidRPr="0043213A">
        <w:rPr>
          <w:rFonts w:ascii="Titillium Up" w:hAnsi="Titillium Up"/>
          <w:b/>
          <w:iCs/>
          <w:sz w:val="24"/>
          <w:szCs w:val="24"/>
        </w:rPr>
        <w:t>, pena la perdita al diritto dell’indennizzo</w:t>
      </w:r>
      <w:r w:rsidRPr="00804A17">
        <w:rPr>
          <w:rFonts w:ascii="Titillium Up" w:hAnsi="Titillium Up"/>
          <w:b/>
          <w:iCs/>
          <w:sz w:val="24"/>
          <w:szCs w:val="24"/>
        </w:rPr>
        <w:t xml:space="preserve"> come da art.1915 </w:t>
      </w:r>
      <w:proofErr w:type="spellStart"/>
      <w:r w:rsidRPr="00804A17">
        <w:rPr>
          <w:rFonts w:ascii="Titillium Up" w:hAnsi="Titillium Up"/>
          <w:b/>
          <w:iCs/>
          <w:sz w:val="24"/>
          <w:szCs w:val="24"/>
        </w:rPr>
        <w:t>c.c</w:t>
      </w:r>
      <w:proofErr w:type="spellEnd"/>
      <w:r w:rsidRPr="00804A17">
        <w:rPr>
          <w:rFonts w:ascii="Titillium Up" w:hAnsi="Titillium Up"/>
          <w:b/>
          <w:iCs/>
          <w:sz w:val="24"/>
          <w:szCs w:val="24"/>
        </w:rPr>
        <w:t>,</w:t>
      </w:r>
      <w:r w:rsidRPr="00804A17">
        <w:rPr>
          <w:rFonts w:ascii="Titillium Up" w:hAnsi="Titillium Up"/>
          <w:bCs/>
          <w:iCs/>
          <w:sz w:val="24"/>
          <w:szCs w:val="24"/>
        </w:rPr>
        <w:t xml:space="preserve"> alla Società di brokeraggio attraverso la compilazione</w:t>
      </w:r>
      <w:r w:rsidRPr="00131251">
        <w:rPr>
          <w:rFonts w:ascii="Arial" w:hAnsi="Arial"/>
          <w:sz w:val="24"/>
          <w:szCs w:val="24"/>
        </w:rPr>
        <w:t xml:space="preserve"> </w:t>
      </w:r>
      <w:r w:rsidRPr="00804A17">
        <w:rPr>
          <w:rFonts w:ascii="Titillium Up" w:hAnsi="Titillium Up"/>
          <w:bCs/>
          <w:iCs/>
          <w:sz w:val="24"/>
          <w:szCs w:val="24"/>
        </w:rPr>
        <w:t xml:space="preserve">del modulo denuncia sinistri polizza R.C. Famiglia disponibile sul sito </w:t>
      </w:r>
      <w:r w:rsidRPr="00804A17">
        <w:rPr>
          <w:rFonts w:ascii="Titillium Up" w:hAnsi="Titillium Up"/>
          <w:b/>
          <w:iCs/>
          <w:sz w:val="24"/>
          <w:szCs w:val="24"/>
        </w:rPr>
        <w:t>www.amintaunitasindacale.com</w:t>
      </w:r>
    </w:p>
    <w:p w14:paraId="0E127D2F"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In caso di richieste scritte della parte danneggiata o preventivi di spesa, inviare la documentazione cartacea ad:</w:t>
      </w:r>
    </w:p>
    <w:p w14:paraId="76593D47" w14:textId="77777777" w:rsidR="00603D2F" w:rsidRDefault="00603D2F" w:rsidP="00804A17">
      <w:pPr>
        <w:tabs>
          <w:tab w:val="left" w:pos="426"/>
        </w:tabs>
        <w:autoSpaceDE w:val="0"/>
        <w:autoSpaceDN w:val="0"/>
        <w:adjustRightInd w:val="0"/>
        <w:ind w:left="426"/>
        <w:jc w:val="both"/>
        <w:rPr>
          <w:rFonts w:ascii="Titillium Up" w:hAnsi="Titillium Up"/>
          <w:bCs/>
          <w:iCs/>
          <w:sz w:val="24"/>
          <w:szCs w:val="24"/>
        </w:rPr>
      </w:pPr>
    </w:p>
    <w:p w14:paraId="5890B864"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 xml:space="preserve">Aminta S.r.l. </w:t>
      </w:r>
    </w:p>
    <w:p w14:paraId="42FEA7E0"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Corso Correnti 58/A</w:t>
      </w:r>
    </w:p>
    <w:p w14:paraId="3E7B0428"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10136 Torino</w:t>
      </w:r>
    </w:p>
    <w:p w14:paraId="105B4CD3" w14:textId="77777777" w:rsidR="0043213A" w:rsidRDefault="0043213A" w:rsidP="00804A17">
      <w:pPr>
        <w:tabs>
          <w:tab w:val="left" w:pos="426"/>
        </w:tabs>
        <w:autoSpaceDE w:val="0"/>
        <w:autoSpaceDN w:val="0"/>
        <w:adjustRightInd w:val="0"/>
        <w:ind w:left="426"/>
        <w:jc w:val="both"/>
        <w:rPr>
          <w:rFonts w:ascii="Titillium Up" w:hAnsi="Titillium Up"/>
          <w:bCs/>
          <w:iCs/>
          <w:sz w:val="24"/>
          <w:szCs w:val="24"/>
        </w:rPr>
      </w:pPr>
    </w:p>
    <w:p w14:paraId="199EE969"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 xml:space="preserve">indicando sulla busta </w:t>
      </w:r>
      <w:r w:rsidRPr="00804A17">
        <w:rPr>
          <w:rFonts w:ascii="Titillium Up" w:hAnsi="Titillium Up"/>
          <w:b/>
          <w:iCs/>
          <w:sz w:val="24"/>
          <w:szCs w:val="24"/>
        </w:rPr>
        <w:t>“Convenzione UNITA’ SINDACALE - R.</w:t>
      </w:r>
      <w:r w:rsidR="00EB2257">
        <w:rPr>
          <w:rFonts w:ascii="Titillium Up" w:hAnsi="Titillium Up"/>
          <w:b/>
          <w:iCs/>
          <w:sz w:val="24"/>
          <w:szCs w:val="24"/>
        </w:rPr>
        <w:t>C</w:t>
      </w:r>
      <w:r w:rsidRPr="00804A17">
        <w:rPr>
          <w:rFonts w:ascii="Titillium Up" w:hAnsi="Titillium Up"/>
          <w:b/>
          <w:iCs/>
          <w:sz w:val="24"/>
          <w:szCs w:val="24"/>
        </w:rPr>
        <w:t>. Famiglia”</w:t>
      </w:r>
      <w:r w:rsidRPr="00804A17">
        <w:rPr>
          <w:rFonts w:ascii="Titillium Up" w:hAnsi="Titillium Up"/>
          <w:bCs/>
          <w:iCs/>
          <w:sz w:val="24"/>
          <w:szCs w:val="24"/>
        </w:rPr>
        <w:t xml:space="preserve"> </w:t>
      </w:r>
    </w:p>
    <w:p w14:paraId="006D21D0"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La denuncia dovrà sempre contenere una descrizione circostanziata e dettagliata dell’evento che ha originato il sinistro indicando le responsabilità dell’assicurato nell’accaduto.</w:t>
      </w:r>
    </w:p>
    <w:p w14:paraId="75B6D2AB"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 xml:space="preserve">Tutte le ulteriori richieste ricevute dalla parte danneggiata dovranno essere tempestivamente inviate al broker. </w:t>
      </w:r>
    </w:p>
    <w:p w14:paraId="01BCED7A" w14:textId="77777777" w:rsidR="009857C8" w:rsidRDefault="009857C8" w:rsidP="00F05BEF">
      <w:pPr>
        <w:autoSpaceDE w:val="0"/>
        <w:autoSpaceDN w:val="0"/>
        <w:adjustRightInd w:val="0"/>
        <w:ind w:left="426"/>
        <w:jc w:val="both"/>
        <w:rPr>
          <w:rFonts w:ascii="Arial" w:hAnsi="Arial"/>
          <w:sz w:val="24"/>
          <w:szCs w:val="24"/>
        </w:rPr>
      </w:pPr>
    </w:p>
    <w:p w14:paraId="47EF0A02" w14:textId="77777777" w:rsidR="00F05BEF" w:rsidRDefault="00F05BEF" w:rsidP="00F05BEF">
      <w:pPr>
        <w:autoSpaceDE w:val="0"/>
        <w:autoSpaceDN w:val="0"/>
        <w:adjustRightInd w:val="0"/>
        <w:ind w:left="426"/>
        <w:jc w:val="both"/>
        <w:rPr>
          <w:rFonts w:ascii="Arial" w:hAnsi="Arial"/>
          <w:sz w:val="24"/>
          <w:szCs w:val="24"/>
        </w:rPr>
      </w:pPr>
      <w:r>
        <w:rPr>
          <w:rFonts w:ascii="Arial" w:hAnsi="Arial"/>
          <w:sz w:val="24"/>
          <w:szCs w:val="24"/>
        </w:rPr>
        <w:t xml:space="preserve">   </w:t>
      </w:r>
    </w:p>
    <w:p w14:paraId="385FBA68" w14:textId="77777777" w:rsidR="00F05BEF" w:rsidRPr="009857C8" w:rsidRDefault="00F05BEF" w:rsidP="009857C8">
      <w:pPr>
        <w:pStyle w:val="Paragrafoelenco"/>
        <w:widowControl w:val="0"/>
        <w:numPr>
          <w:ilvl w:val="0"/>
          <w:numId w:val="33"/>
        </w:numPr>
        <w:suppressAutoHyphens/>
        <w:autoSpaceDE w:val="0"/>
        <w:autoSpaceDN w:val="0"/>
        <w:adjustRightInd w:val="0"/>
        <w:spacing w:after="0" w:line="240" w:lineRule="auto"/>
        <w:ind w:left="284"/>
        <w:jc w:val="both"/>
        <w:textAlignment w:val="center"/>
        <w:rPr>
          <w:rFonts w:ascii="Titillium Up" w:eastAsia="Times New Roman" w:hAnsi="Titillium Up" w:cs="Arial"/>
          <w:b/>
          <w:color w:val="0070C0"/>
          <w:sz w:val="34"/>
          <w:szCs w:val="34"/>
          <w:u w:val="single"/>
          <w:lang w:eastAsia="it-IT"/>
        </w:rPr>
      </w:pPr>
      <w:bookmarkStart w:id="65" w:name="_Toc373398542"/>
      <w:bookmarkStart w:id="66" w:name="_Toc531101132"/>
      <w:r w:rsidRPr="009857C8">
        <w:rPr>
          <w:rFonts w:ascii="Titillium Up" w:eastAsia="Times New Roman" w:hAnsi="Titillium Up" w:cs="Arial"/>
          <w:b/>
          <w:color w:val="0070C0"/>
          <w:sz w:val="34"/>
          <w:szCs w:val="34"/>
          <w:u w:val="single"/>
          <w:lang w:eastAsia="it-IT"/>
        </w:rPr>
        <w:t>CONDIZIONI GENERALI DEL CONTRATTO</w:t>
      </w:r>
      <w:bookmarkEnd w:id="65"/>
      <w:bookmarkEnd w:id="66"/>
    </w:p>
    <w:p w14:paraId="4B7F03CB" w14:textId="77777777" w:rsidR="00F05BEF" w:rsidRPr="00DA65EA" w:rsidRDefault="00F05BEF" w:rsidP="00F05BEF">
      <w:pPr>
        <w:autoSpaceDE w:val="0"/>
        <w:autoSpaceDN w:val="0"/>
        <w:adjustRightInd w:val="0"/>
        <w:jc w:val="center"/>
        <w:rPr>
          <w:rFonts w:ascii="Arial" w:hAnsi="Arial"/>
          <w:b/>
          <w:bCs/>
          <w:iCs/>
          <w:sz w:val="24"/>
          <w:szCs w:val="24"/>
        </w:rPr>
      </w:pPr>
    </w:p>
    <w:p w14:paraId="62C15EAE" w14:textId="77777777" w:rsidR="00F05BEF" w:rsidRPr="00512EF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67" w:name="_Toc373398543"/>
      <w:bookmarkStart w:id="68" w:name="_Toc531101133"/>
      <w:r>
        <w:rPr>
          <w:rFonts w:ascii="Titillium Up" w:hAnsi="Titillium Up" w:cs="Arial"/>
          <w:b/>
          <w:bCs/>
          <w:caps/>
          <w:color w:val="0070C0"/>
          <w:w w:val="94"/>
          <w:sz w:val="28"/>
          <w:szCs w:val="28"/>
        </w:rPr>
        <w:t>5</w:t>
      </w:r>
      <w:r w:rsidR="00F05BEF" w:rsidRPr="00512EF9">
        <w:rPr>
          <w:rFonts w:ascii="Titillium Up" w:hAnsi="Titillium Up" w:cs="Arial"/>
          <w:b/>
          <w:bCs/>
          <w:caps/>
          <w:color w:val="0070C0"/>
          <w:w w:val="94"/>
          <w:sz w:val="28"/>
          <w:szCs w:val="28"/>
        </w:rPr>
        <w:t>.1  Dichiarazioni relative alle circostanze del rischio - Buona fede</w:t>
      </w:r>
      <w:bookmarkEnd w:id="67"/>
      <w:bookmarkEnd w:id="68"/>
    </w:p>
    <w:p w14:paraId="2F5A348B"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lastRenderedPageBreak/>
        <w:t xml:space="preserve">Le dichiarazioni inesatte o le reticenze del Contraente/Assicurato relative a circostanze che influiscono sulla valutazione del rischio, possono comportare la perdita totale o parziale del diritto all’indennizzo, nonché la stessa cessazione dell’assicurazione (artt. 1892, 1893, </w:t>
      </w:r>
      <w:smartTag w:uri="urn:schemas-microsoft-com:office:smarttags" w:element="metricconverter">
        <w:smartTagPr>
          <w:attr w:name="ProductID" w:val="1894 C"/>
        </w:smartTagPr>
        <w:r w:rsidRPr="00804A17">
          <w:rPr>
            <w:rFonts w:ascii="Titillium Up" w:hAnsi="Titillium Up"/>
            <w:bCs/>
            <w:iCs/>
            <w:sz w:val="24"/>
            <w:szCs w:val="24"/>
          </w:rPr>
          <w:t>1894 C</w:t>
        </w:r>
      </w:smartTag>
      <w:r w:rsidRPr="00804A17">
        <w:rPr>
          <w:rFonts w:ascii="Titillium Up" w:hAnsi="Titillium Up"/>
          <w:bCs/>
          <w:iCs/>
          <w:sz w:val="24"/>
          <w:szCs w:val="24"/>
        </w:rPr>
        <w:t>.C.). Tuttavia l'omissione, l’incompletezza o l’inesattezza delle dichiarazioni da parte del Contraente/Assicurato di circostanze eventualmente aggravanti il rischio, durante il corso della validità della presente polizza così come all'atto della sottoscrizione della stessa, non pregiudicano il diritto al completo indennizzo sempre che tali omissioni, incomplete o inesatte dichiarazioni non siano frutto di dolo del Contraente/Assicurato.</w:t>
      </w:r>
    </w:p>
    <w:p w14:paraId="329E9196" w14:textId="77777777" w:rsidR="00F05BEF" w:rsidRPr="00DA65EA" w:rsidRDefault="00F05BEF" w:rsidP="00F05BEF">
      <w:pPr>
        <w:autoSpaceDE w:val="0"/>
        <w:autoSpaceDN w:val="0"/>
        <w:adjustRightInd w:val="0"/>
        <w:rPr>
          <w:rFonts w:ascii="Arial" w:hAnsi="Arial"/>
          <w:sz w:val="24"/>
          <w:szCs w:val="24"/>
        </w:rPr>
      </w:pPr>
    </w:p>
    <w:p w14:paraId="08440036" w14:textId="77777777" w:rsidR="00F05BEF" w:rsidRPr="00512EF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69" w:name="_Toc373398544"/>
      <w:bookmarkStart w:id="70" w:name="_Toc531101134"/>
      <w:r>
        <w:rPr>
          <w:rFonts w:ascii="Titillium Up" w:hAnsi="Titillium Up" w:cs="Arial"/>
          <w:b/>
          <w:bCs/>
          <w:caps/>
          <w:color w:val="0070C0"/>
          <w:w w:val="94"/>
          <w:sz w:val="28"/>
          <w:szCs w:val="28"/>
        </w:rPr>
        <w:t>5</w:t>
      </w:r>
      <w:r w:rsidR="00F05BEF" w:rsidRPr="00512EF9">
        <w:rPr>
          <w:rFonts w:ascii="Titillium Up" w:hAnsi="Titillium Up" w:cs="Arial"/>
          <w:b/>
          <w:bCs/>
          <w:caps/>
          <w:color w:val="0070C0"/>
          <w:w w:val="94"/>
          <w:sz w:val="28"/>
          <w:szCs w:val="28"/>
        </w:rPr>
        <w:t>.2  Altre assicurazioni</w:t>
      </w:r>
      <w:bookmarkEnd w:id="69"/>
      <w:bookmarkEnd w:id="70"/>
    </w:p>
    <w:p w14:paraId="33C8CD7E"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Il Contraente/Assicurato deve comunicare per iscritto alla Società in caso di sinistro l’esistenza di altre assicurazioni per il rischio descritto in polizza.  (art. 1910 C.C.).</w:t>
      </w:r>
    </w:p>
    <w:p w14:paraId="39802541" w14:textId="77777777" w:rsidR="00F05BEF" w:rsidRPr="00DA65EA" w:rsidRDefault="00F05BEF" w:rsidP="00F05BEF">
      <w:pPr>
        <w:autoSpaceDE w:val="0"/>
        <w:autoSpaceDN w:val="0"/>
        <w:adjustRightInd w:val="0"/>
        <w:rPr>
          <w:rFonts w:ascii="Arial" w:hAnsi="Arial"/>
          <w:sz w:val="24"/>
          <w:szCs w:val="24"/>
        </w:rPr>
      </w:pPr>
    </w:p>
    <w:p w14:paraId="0421F739" w14:textId="77777777" w:rsidR="00F05BEF" w:rsidRPr="00512EF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71" w:name="_Toc373398545"/>
      <w:bookmarkStart w:id="72" w:name="_Toc531101135"/>
      <w:r>
        <w:rPr>
          <w:rFonts w:ascii="Titillium Up" w:hAnsi="Titillium Up" w:cs="Arial"/>
          <w:b/>
          <w:bCs/>
          <w:caps/>
          <w:color w:val="0070C0"/>
          <w:w w:val="94"/>
          <w:sz w:val="28"/>
          <w:szCs w:val="28"/>
        </w:rPr>
        <w:t>5</w:t>
      </w:r>
      <w:r w:rsidR="00F05BEF" w:rsidRPr="00512EF9">
        <w:rPr>
          <w:rFonts w:ascii="Titillium Up" w:hAnsi="Titillium Up" w:cs="Arial"/>
          <w:b/>
          <w:bCs/>
          <w:caps/>
          <w:color w:val="0070C0"/>
          <w:w w:val="94"/>
          <w:sz w:val="28"/>
          <w:szCs w:val="28"/>
        </w:rPr>
        <w:t>.3  Decorrenza dell'assicurazione - Pagamento del premio</w:t>
      </w:r>
      <w:bookmarkEnd w:id="71"/>
      <w:bookmarkEnd w:id="72"/>
    </w:p>
    <w:p w14:paraId="2615F98F" w14:textId="09F5EB4C"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L’assicurazione ha effetto dalle ore 24 del giorno 31/12/202</w:t>
      </w:r>
      <w:r w:rsidR="00954EE3">
        <w:rPr>
          <w:rFonts w:ascii="Titillium Up" w:hAnsi="Titillium Up"/>
          <w:bCs/>
          <w:iCs/>
          <w:sz w:val="24"/>
          <w:szCs w:val="24"/>
        </w:rPr>
        <w:t>1</w:t>
      </w:r>
      <w:r w:rsidRPr="00804A17">
        <w:rPr>
          <w:rFonts w:ascii="Titillium Up" w:hAnsi="Titillium Up"/>
          <w:bCs/>
          <w:iCs/>
          <w:sz w:val="24"/>
          <w:szCs w:val="24"/>
        </w:rPr>
        <w:t xml:space="preserve"> per le adesioni pervenute e bonificate con valuta fissa al Broker entro le ore 24 del 31/12/202</w:t>
      </w:r>
      <w:r w:rsidR="00954EE3">
        <w:rPr>
          <w:rFonts w:ascii="Titillium Up" w:hAnsi="Titillium Up"/>
          <w:bCs/>
          <w:iCs/>
          <w:sz w:val="24"/>
          <w:szCs w:val="24"/>
        </w:rPr>
        <w:t>1</w:t>
      </w:r>
      <w:r w:rsidRPr="00804A17">
        <w:rPr>
          <w:rFonts w:ascii="Titillium Up" w:hAnsi="Titillium Up"/>
          <w:bCs/>
          <w:iCs/>
          <w:sz w:val="24"/>
          <w:szCs w:val="24"/>
        </w:rPr>
        <w:t>.</w:t>
      </w:r>
    </w:p>
    <w:p w14:paraId="3413B11A" w14:textId="3E755D25"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Per le adesioni pervenute in epoca successiva al 31/12/202</w:t>
      </w:r>
      <w:r w:rsidR="00954EE3">
        <w:rPr>
          <w:rFonts w:ascii="Titillium Up" w:hAnsi="Titillium Up"/>
          <w:bCs/>
          <w:iCs/>
          <w:sz w:val="24"/>
          <w:szCs w:val="24"/>
        </w:rPr>
        <w:t>1</w:t>
      </w:r>
      <w:r w:rsidRPr="00804A17">
        <w:rPr>
          <w:rFonts w:ascii="Titillium Up" w:hAnsi="Titillium Up"/>
          <w:bCs/>
          <w:iCs/>
          <w:sz w:val="24"/>
          <w:szCs w:val="24"/>
        </w:rPr>
        <w:t xml:space="preserve">, l’assicurazione ha effetto dalle ore 24 del giorno di valuta fissa indicata sul bonifico al Broker. I premi devono essere pagati alla società di brokeraggio </w:t>
      </w:r>
      <w:r w:rsidRPr="00804A17">
        <w:rPr>
          <w:rFonts w:ascii="Titillium Up" w:hAnsi="Titillium Up"/>
          <w:b/>
          <w:iCs/>
          <w:sz w:val="24"/>
          <w:szCs w:val="24"/>
        </w:rPr>
        <w:t>Aminta s.r.l., Corso Correnti 58/ A 10136 Torino</w:t>
      </w:r>
      <w:r w:rsidRPr="00804A17">
        <w:rPr>
          <w:rFonts w:ascii="Titillium Up" w:hAnsi="Titillium Up"/>
          <w:bCs/>
          <w:iCs/>
          <w:sz w:val="24"/>
          <w:szCs w:val="24"/>
        </w:rPr>
        <w:t xml:space="preserve"> sul conto corrente dedicato alla </w:t>
      </w:r>
      <w:r w:rsidRPr="00804A17">
        <w:rPr>
          <w:rFonts w:ascii="Titillium Up" w:hAnsi="Titillium Up"/>
          <w:b/>
          <w:iCs/>
          <w:sz w:val="24"/>
          <w:szCs w:val="24"/>
        </w:rPr>
        <w:t>Convenzione UNITA’ SINDACALE</w:t>
      </w:r>
      <w:r w:rsidRPr="00804A17">
        <w:rPr>
          <w:rFonts w:ascii="Titillium Up" w:hAnsi="Titillium Up"/>
          <w:bCs/>
          <w:iCs/>
          <w:sz w:val="24"/>
          <w:szCs w:val="24"/>
        </w:rPr>
        <w:t xml:space="preserve"> </w:t>
      </w:r>
      <w:r w:rsidR="00603D2F" w:rsidRPr="00603D2F">
        <w:rPr>
          <w:rFonts w:ascii="Titillium Up" w:hAnsi="Titillium Up"/>
          <w:b/>
          <w:iCs/>
          <w:sz w:val="24"/>
          <w:szCs w:val="24"/>
        </w:rPr>
        <w:t>F.A.L.C.R.I.</w:t>
      </w:r>
      <w:r w:rsidR="00603D2F">
        <w:rPr>
          <w:rFonts w:ascii="Titillium Up" w:hAnsi="Titillium Up"/>
          <w:b/>
          <w:iCs/>
          <w:sz w:val="24"/>
          <w:szCs w:val="24"/>
        </w:rPr>
        <w:t xml:space="preserve"> </w:t>
      </w:r>
      <w:r w:rsidR="00603D2F" w:rsidRPr="00603D2F">
        <w:rPr>
          <w:rFonts w:ascii="Titillium Up" w:hAnsi="Titillium Up"/>
          <w:b/>
          <w:iCs/>
          <w:sz w:val="24"/>
          <w:szCs w:val="24"/>
        </w:rPr>
        <w:t>– S.I.L.C.E.A. –S.I.N.F.U.B.</w:t>
      </w:r>
      <w:r w:rsidR="00603D2F" w:rsidRPr="00EF0340">
        <w:rPr>
          <w:sz w:val="24"/>
          <w:szCs w:val="24"/>
        </w:rPr>
        <w:t xml:space="preserve"> </w:t>
      </w:r>
      <w:r w:rsidRPr="00804A17">
        <w:rPr>
          <w:rFonts w:ascii="Titillium Up" w:hAnsi="Titillium Up"/>
          <w:bCs/>
          <w:iCs/>
          <w:sz w:val="24"/>
          <w:szCs w:val="24"/>
        </w:rPr>
        <w:t xml:space="preserve">con il seguente </w:t>
      </w:r>
      <w:r w:rsidRPr="00804A17">
        <w:rPr>
          <w:rFonts w:ascii="Titillium Up" w:hAnsi="Titillium Up"/>
          <w:b/>
          <w:iCs/>
          <w:sz w:val="24"/>
          <w:szCs w:val="24"/>
        </w:rPr>
        <w:t>IBAN: IT32I0853001001000550101043</w:t>
      </w:r>
      <w:r w:rsidRPr="00804A17">
        <w:rPr>
          <w:rFonts w:ascii="Titillium Up" w:hAnsi="Titillium Up"/>
          <w:bCs/>
          <w:iCs/>
          <w:sz w:val="24"/>
          <w:szCs w:val="24"/>
        </w:rPr>
        <w:t>, presso la Banca d’Alba - Corso Siracusa N. 45 10136 Torino.</w:t>
      </w:r>
    </w:p>
    <w:p w14:paraId="727DF73A" w14:textId="77777777" w:rsidR="00F05BEF" w:rsidRPr="00DA65EA" w:rsidRDefault="00F05BEF" w:rsidP="00F05BEF">
      <w:pPr>
        <w:autoSpaceDE w:val="0"/>
        <w:autoSpaceDN w:val="0"/>
        <w:adjustRightInd w:val="0"/>
        <w:rPr>
          <w:rFonts w:ascii="Arial" w:hAnsi="Arial"/>
          <w:sz w:val="24"/>
          <w:szCs w:val="24"/>
        </w:rPr>
      </w:pPr>
    </w:p>
    <w:p w14:paraId="65826288" w14:textId="77777777" w:rsidR="00F05BEF" w:rsidRPr="00512EF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73" w:name="_Toc373398546"/>
      <w:bookmarkStart w:id="74" w:name="_Toc531101137"/>
      <w:r>
        <w:rPr>
          <w:rFonts w:ascii="Titillium Up" w:hAnsi="Titillium Up" w:cs="Arial"/>
          <w:b/>
          <w:bCs/>
          <w:caps/>
          <w:color w:val="0070C0"/>
          <w:w w:val="94"/>
          <w:sz w:val="28"/>
          <w:szCs w:val="28"/>
        </w:rPr>
        <w:t>5</w:t>
      </w:r>
      <w:r w:rsidR="00F05BEF" w:rsidRPr="00512EF9">
        <w:rPr>
          <w:rFonts w:ascii="Titillium Up" w:hAnsi="Titillium Up" w:cs="Arial"/>
          <w:b/>
          <w:bCs/>
          <w:caps/>
          <w:color w:val="0070C0"/>
          <w:w w:val="94"/>
          <w:sz w:val="28"/>
          <w:szCs w:val="28"/>
        </w:rPr>
        <w:t>.</w:t>
      </w:r>
      <w:r w:rsidR="00603D2F">
        <w:rPr>
          <w:rFonts w:ascii="Titillium Up" w:hAnsi="Titillium Up" w:cs="Arial"/>
          <w:b/>
          <w:bCs/>
          <w:caps/>
          <w:color w:val="0070C0"/>
          <w:w w:val="94"/>
          <w:sz w:val="28"/>
          <w:szCs w:val="28"/>
        </w:rPr>
        <w:t>4</w:t>
      </w:r>
      <w:r w:rsidR="00F05BEF" w:rsidRPr="00512EF9">
        <w:rPr>
          <w:rFonts w:ascii="Titillium Up" w:hAnsi="Titillium Up" w:cs="Arial"/>
          <w:b/>
          <w:bCs/>
          <w:caps/>
          <w:color w:val="0070C0"/>
          <w:w w:val="94"/>
          <w:sz w:val="28"/>
          <w:szCs w:val="28"/>
        </w:rPr>
        <w:t xml:space="preserve"> Variazioni del rischio</w:t>
      </w:r>
      <w:bookmarkEnd w:id="73"/>
      <w:bookmarkEnd w:id="74"/>
    </w:p>
    <w:p w14:paraId="560ADBFD"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 xml:space="preserve">Il Contraente/Assicurato deve comunicare alla Società ogni aggravamento del rischio entro 6 mesi dal suo verificarsi. Gli aggravamenti di rischio non noti o non accettati dalla Società possono comportare la perdita totale o parziale del diritto all'indennizzo nonché la stessa cessazione dell'assicurazione, ai sensi dell’art. </w:t>
      </w:r>
      <w:smartTag w:uri="urn:schemas-microsoft-com:office:smarttags" w:element="metricconverter">
        <w:smartTagPr>
          <w:attr w:name="ProductID" w:val="1898 C"/>
        </w:smartTagPr>
        <w:r w:rsidRPr="00D04AFA">
          <w:rPr>
            <w:rFonts w:ascii="Titillium Up" w:hAnsi="Titillium Up"/>
            <w:bCs/>
            <w:iCs/>
            <w:sz w:val="24"/>
            <w:szCs w:val="24"/>
          </w:rPr>
          <w:t>1898 C</w:t>
        </w:r>
      </w:smartTag>
      <w:r w:rsidRPr="00D04AFA">
        <w:rPr>
          <w:rFonts w:ascii="Titillium Up" w:hAnsi="Titillium Up"/>
          <w:bCs/>
          <w:iCs/>
          <w:sz w:val="24"/>
          <w:szCs w:val="24"/>
        </w:rPr>
        <w:t>.C.</w:t>
      </w:r>
    </w:p>
    <w:p w14:paraId="79A657EB" w14:textId="77777777" w:rsidR="00F05BEF" w:rsidRPr="00DA65EA" w:rsidRDefault="00F05BEF" w:rsidP="00F05BEF">
      <w:pPr>
        <w:autoSpaceDE w:val="0"/>
        <w:autoSpaceDN w:val="0"/>
        <w:adjustRightInd w:val="0"/>
        <w:rPr>
          <w:rFonts w:ascii="Arial" w:hAnsi="Arial"/>
          <w:sz w:val="24"/>
          <w:szCs w:val="24"/>
        </w:rPr>
      </w:pPr>
    </w:p>
    <w:p w14:paraId="7D87B87F" w14:textId="77777777" w:rsidR="00F05BEF" w:rsidRPr="00512EF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75" w:name="_Toc373398547"/>
      <w:bookmarkStart w:id="76" w:name="_Toc531101138"/>
      <w:r>
        <w:rPr>
          <w:rFonts w:ascii="Titillium Up" w:hAnsi="Titillium Up" w:cs="Arial"/>
          <w:b/>
          <w:bCs/>
          <w:caps/>
          <w:color w:val="0070C0"/>
          <w:w w:val="94"/>
          <w:sz w:val="28"/>
          <w:szCs w:val="28"/>
        </w:rPr>
        <w:t>5</w:t>
      </w:r>
      <w:r w:rsidR="00F05BEF" w:rsidRPr="00512EF9">
        <w:rPr>
          <w:rFonts w:ascii="Titillium Up" w:hAnsi="Titillium Up" w:cs="Arial"/>
          <w:b/>
          <w:bCs/>
          <w:caps/>
          <w:color w:val="0070C0"/>
          <w:w w:val="94"/>
          <w:sz w:val="28"/>
          <w:szCs w:val="28"/>
        </w:rPr>
        <w:t>.</w:t>
      </w:r>
      <w:r w:rsidR="00603D2F">
        <w:rPr>
          <w:rFonts w:ascii="Titillium Up" w:hAnsi="Titillium Up" w:cs="Arial"/>
          <w:b/>
          <w:bCs/>
          <w:caps/>
          <w:color w:val="0070C0"/>
          <w:w w:val="94"/>
          <w:sz w:val="28"/>
          <w:szCs w:val="28"/>
        </w:rPr>
        <w:t>5</w:t>
      </w:r>
      <w:r w:rsidR="00F05BEF" w:rsidRPr="00512EF9">
        <w:rPr>
          <w:rFonts w:ascii="Titillium Up" w:hAnsi="Titillium Up" w:cs="Arial"/>
          <w:b/>
          <w:bCs/>
          <w:caps/>
          <w:color w:val="0070C0"/>
          <w:w w:val="94"/>
          <w:sz w:val="28"/>
          <w:szCs w:val="28"/>
        </w:rPr>
        <w:t xml:space="preserve">  Durata dell'assicurazione</w:t>
      </w:r>
      <w:bookmarkEnd w:id="75"/>
      <w:bookmarkEnd w:id="76"/>
    </w:p>
    <w:p w14:paraId="5ABDD027" w14:textId="398E09D4"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La presente assicurazione ha validità dalle ore 24 del 31.12.20</w:t>
      </w:r>
      <w:r w:rsidR="005328D5">
        <w:rPr>
          <w:rFonts w:ascii="Titillium Up" w:hAnsi="Titillium Up"/>
          <w:bCs/>
          <w:iCs/>
          <w:sz w:val="24"/>
          <w:szCs w:val="24"/>
        </w:rPr>
        <w:t>21</w:t>
      </w:r>
      <w:r w:rsidRPr="00D04AFA">
        <w:rPr>
          <w:rFonts w:ascii="Titillium Up" w:hAnsi="Titillium Up"/>
          <w:bCs/>
          <w:iCs/>
          <w:sz w:val="24"/>
          <w:szCs w:val="24"/>
        </w:rPr>
        <w:t xml:space="preserve"> alle ore 24 del 31.12.202</w:t>
      </w:r>
      <w:r w:rsidR="00954EE3">
        <w:rPr>
          <w:rFonts w:ascii="Titillium Up" w:hAnsi="Titillium Up"/>
          <w:bCs/>
          <w:iCs/>
          <w:sz w:val="24"/>
          <w:szCs w:val="24"/>
        </w:rPr>
        <w:t>2</w:t>
      </w:r>
      <w:r w:rsidRPr="00D04AFA">
        <w:rPr>
          <w:rFonts w:ascii="Titillium Up" w:hAnsi="Titillium Up"/>
          <w:bCs/>
          <w:iCs/>
          <w:sz w:val="24"/>
          <w:szCs w:val="24"/>
        </w:rPr>
        <w:t xml:space="preserve"> per la durata di anni UNO senza tacito rinnovo</w:t>
      </w:r>
    </w:p>
    <w:p w14:paraId="3EE75749" w14:textId="77777777" w:rsidR="00F05BEF" w:rsidRPr="00DA65EA" w:rsidRDefault="00F05BEF" w:rsidP="00F05BEF">
      <w:pPr>
        <w:autoSpaceDE w:val="0"/>
        <w:autoSpaceDN w:val="0"/>
        <w:adjustRightInd w:val="0"/>
        <w:rPr>
          <w:rFonts w:ascii="Arial" w:hAnsi="Arial"/>
          <w:sz w:val="24"/>
          <w:szCs w:val="24"/>
        </w:rPr>
      </w:pPr>
    </w:p>
    <w:p w14:paraId="4C0C73AB" w14:textId="77777777" w:rsidR="00F05BEF" w:rsidRPr="00512EF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77" w:name="_Toc373398548"/>
      <w:bookmarkStart w:id="78" w:name="_Toc531101139"/>
      <w:r>
        <w:rPr>
          <w:rFonts w:ascii="Titillium Up" w:hAnsi="Titillium Up" w:cs="Arial"/>
          <w:b/>
          <w:bCs/>
          <w:caps/>
          <w:color w:val="0070C0"/>
          <w:w w:val="94"/>
          <w:sz w:val="28"/>
          <w:szCs w:val="28"/>
        </w:rPr>
        <w:t>5</w:t>
      </w:r>
      <w:r w:rsidR="00F05BEF" w:rsidRPr="00512EF9">
        <w:rPr>
          <w:rFonts w:ascii="Titillium Up" w:hAnsi="Titillium Up" w:cs="Arial"/>
          <w:b/>
          <w:bCs/>
          <w:caps/>
          <w:color w:val="0070C0"/>
          <w:w w:val="94"/>
          <w:sz w:val="28"/>
          <w:szCs w:val="28"/>
        </w:rPr>
        <w:t>.</w:t>
      </w:r>
      <w:r w:rsidR="00603D2F">
        <w:rPr>
          <w:rFonts w:ascii="Titillium Up" w:hAnsi="Titillium Up" w:cs="Arial"/>
          <w:b/>
          <w:bCs/>
          <w:caps/>
          <w:color w:val="0070C0"/>
          <w:w w:val="94"/>
          <w:sz w:val="28"/>
          <w:szCs w:val="28"/>
        </w:rPr>
        <w:t>6</w:t>
      </w:r>
      <w:r w:rsidR="00F05BEF" w:rsidRPr="00512EF9">
        <w:rPr>
          <w:rFonts w:ascii="Titillium Up" w:hAnsi="Titillium Up" w:cs="Arial"/>
          <w:b/>
          <w:bCs/>
          <w:caps/>
          <w:color w:val="0070C0"/>
          <w:w w:val="94"/>
          <w:sz w:val="28"/>
          <w:szCs w:val="28"/>
        </w:rPr>
        <w:t xml:space="preserve">  Oneri fiscali</w:t>
      </w:r>
      <w:bookmarkEnd w:id="77"/>
      <w:bookmarkEnd w:id="78"/>
    </w:p>
    <w:p w14:paraId="14BE5365"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Gli oneri fiscali relativi all'assicurazione sono a carico del Contraente/Assicurato anche se il pagamento ne sia stato anticipato dalla Società.</w:t>
      </w:r>
    </w:p>
    <w:p w14:paraId="64920F39" w14:textId="77777777" w:rsidR="00F05BEF" w:rsidRDefault="00F05BEF" w:rsidP="00F05BEF">
      <w:pPr>
        <w:autoSpaceDE w:val="0"/>
        <w:autoSpaceDN w:val="0"/>
        <w:adjustRightInd w:val="0"/>
        <w:rPr>
          <w:rFonts w:ascii="Arial" w:hAnsi="Arial"/>
          <w:b/>
          <w:bCs/>
          <w:sz w:val="24"/>
          <w:szCs w:val="24"/>
        </w:rPr>
      </w:pPr>
    </w:p>
    <w:p w14:paraId="525EED20" w14:textId="77777777" w:rsidR="00F05BEF" w:rsidRPr="00512EF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79" w:name="_Toc373398549"/>
      <w:bookmarkStart w:id="80" w:name="_Toc531101140"/>
      <w:r>
        <w:rPr>
          <w:rFonts w:ascii="Titillium Up" w:hAnsi="Titillium Up" w:cs="Arial"/>
          <w:b/>
          <w:bCs/>
          <w:caps/>
          <w:color w:val="0070C0"/>
          <w:w w:val="94"/>
          <w:sz w:val="28"/>
          <w:szCs w:val="28"/>
        </w:rPr>
        <w:t>5</w:t>
      </w:r>
      <w:r w:rsidR="00F05BEF" w:rsidRPr="00512EF9">
        <w:rPr>
          <w:rFonts w:ascii="Titillium Up" w:hAnsi="Titillium Up" w:cs="Arial"/>
          <w:b/>
          <w:bCs/>
          <w:caps/>
          <w:color w:val="0070C0"/>
          <w:w w:val="94"/>
          <w:sz w:val="28"/>
          <w:szCs w:val="28"/>
        </w:rPr>
        <w:t>.</w:t>
      </w:r>
      <w:r w:rsidR="00603D2F">
        <w:rPr>
          <w:rFonts w:ascii="Titillium Up" w:hAnsi="Titillium Up" w:cs="Arial"/>
          <w:b/>
          <w:bCs/>
          <w:caps/>
          <w:color w:val="0070C0"/>
          <w:w w:val="94"/>
          <w:sz w:val="28"/>
          <w:szCs w:val="28"/>
        </w:rPr>
        <w:t>7</w:t>
      </w:r>
      <w:r w:rsidR="00F05BEF" w:rsidRPr="00512EF9">
        <w:rPr>
          <w:rFonts w:ascii="Titillium Up" w:hAnsi="Titillium Up" w:cs="Arial"/>
          <w:b/>
          <w:bCs/>
          <w:caps/>
          <w:color w:val="0070C0"/>
          <w:w w:val="94"/>
          <w:sz w:val="28"/>
          <w:szCs w:val="28"/>
        </w:rPr>
        <w:t xml:space="preserve">  Modifiche dell'assicurazione</w:t>
      </w:r>
      <w:bookmarkEnd w:id="79"/>
      <w:bookmarkEnd w:id="80"/>
    </w:p>
    <w:p w14:paraId="1EBBC24A"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Le eventuali modificazioni dell'assicurazione devono essere provate per iscritto.</w:t>
      </w:r>
    </w:p>
    <w:p w14:paraId="2419464F"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p>
    <w:p w14:paraId="78AB0BBA" w14:textId="77777777" w:rsidR="00F05BEF" w:rsidRPr="00512EF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81" w:name="_Toc373398550"/>
      <w:bookmarkStart w:id="82" w:name="_Toc531101141"/>
      <w:r>
        <w:rPr>
          <w:rFonts w:ascii="Titillium Up" w:hAnsi="Titillium Up" w:cs="Arial"/>
          <w:b/>
          <w:bCs/>
          <w:caps/>
          <w:color w:val="0070C0"/>
          <w:w w:val="94"/>
          <w:sz w:val="28"/>
          <w:szCs w:val="28"/>
        </w:rPr>
        <w:t>5</w:t>
      </w:r>
      <w:r w:rsidR="00F05BEF" w:rsidRPr="00512EF9">
        <w:rPr>
          <w:rFonts w:ascii="Titillium Up" w:hAnsi="Titillium Up" w:cs="Arial"/>
          <w:b/>
          <w:bCs/>
          <w:caps/>
          <w:color w:val="0070C0"/>
          <w:w w:val="94"/>
          <w:sz w:val="28"/>
          <w:szCs w:val="28"/>
        </w:rPr>
        <w:t>.</w:t>
      </w:r>
      <w:r w:rsidR="00603D2F">
        <w:rPr>
          <w:rFonts w:ascii="Titillium Up" w:hAnsi="Titillium Up" w:cs="Arial"/>
          <w:b/>
          <w:bCs/>
          <w:caps/>
          <w:color w:val="0070C0"/>
          <w:w w:val="94"/>
          <w:sz w:val="28"/>
          <w:szCs w:val="28"/>
        </w:rPr>
        <w:t>8</w:t>
      </w:r>
      <w:r w:rsidR="00F05BEF" w:rsidRPr="00512EF9">
        <w:rPr>
          <w:rFonts w:ascii="Titillium Up" w:hAnsi="Titillium Up" w:cs="Arial"/>
          <w:b/>
          <w:bCs/>
          <w:caps/>
          <w:color w:val="0070C0"/>
          <w:w w:val="94"/>
          <w:sz w:val="28"/>
          <w:szCs w:val="28"/>
        </w:rPr>
        <w:t xml:space="preserve">  Clausola Broker</w:t>
      </w:r>
      <w:bookmarkEnd w:id="81"/>
      <w:bookmarkEnd w:id="82"/>
    </w:p>
    <w:p w14:paraId="54EDE644"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 xml:space="preserve">Il Contraente dichiara, e </w:t>
      </w:r>
      <w:smartTag w:uri="urn:schemas-microsoft-com:office:smarttags" w:element="PersonName">
        <w:smartTagPr>
          <w:attr w:name="ProductID" w:val="la Compagnia"/>
        </w:smartTagPr>
        <w:r w:rsidRPr="00D04AFA">
          <w:rPr>
            <w:rFonts w:ascii="Titillium Up" w:hAnsi="Titillium Up"/>
            <w:bCs/>
            <w:iCs/>
            <w:sz w:val="24"/>
            <w:szCs w:val="24"/>
          </w:rPr>
          <w:t>la Compagnia</w:t>
        </w:r>
      </w:smartTag>
      <w:r w:rsidRPr="00D04AFA">
        <w:rPr>
          <w:rFonts w:ascii="Titillium Up" w:hAnsi="Titillium Up"/>
          <w:bCs/>
          <w:iCs/>
          <w:sz w:val="24"/>
          <w:szCs w:val="24"/>
        </w:rPr>
        <w:t xml:space="preserve"> ne prende atto, che il Broker del contratto è la società di brokeraggio assicurativo AMINTA s.r.l. C. so Correnti, 58 – 10136 TORINO.</w:t>
      </w:r>
    </w:p>
    <w:p w14:paraId="45A796BE"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Pertanto, agli effetti di quanto sopra, tutte le comunicazioni tra le Parti, compreso il pagamento dei premi, avverranno per il tramite della società di brokeraggio AMINTA s.r.l. a mezzo telefax o lettera raccomandata. Se tali comunicazioni hanno lo scopo di introdurre nella polizza varianti e modificazioni di qualsiasi genere, queste debbono risultare da un'appendice firmata dalla Società e dal Contraente.</w:t>
      </w:r>
    </w:p>
    <w:p w14:paraId="494EE146" w14:textId="77777777" w:rsidR="00F05BEF" w:rsidRDefault="00F05BEF" w:rsidP="00F05BEF">
      <w:pPr>
        <w:autoSpaceDE w:val="0"/>
        <w:autoSpaceDN w:val="0"/>
        <w:adjustRightInd w:val="0"/>
        <w:rPr>
          <w:rFonts w:ascii="Arial" w:hAnsi="Arial"/>
          <w:sz w:val="24"/>
          <w:szCs w:val="24"/>
        </w:rPr>
      </w:pPr>
    </w:p>
    <w:p w14:paraId="722503A2" w14:textId="77777777" w:rsidR="009857C8" w:rsidRDefault="009857C8" w:rsidP="00F05BEF">
      <w:pPr>
        <w:autoSpaceDE w:val="0"/>
        <w:autoSpaceDN w:val="0"/>
        <w:adjustRightInd w:val="0"/>
        <w:rPr>
          <w:rFonts w:ascii="Arial" w:hAnsi="Arial"/>
          <w:sz w:val="24"/>
          <w:szCs w:val="24"/>
        </w:rPr>
      </w:pPr>
    </w:p>
    <w:p w14:paraId="11094974" w14:textId="77777777" w:rsidR="00F05BEF" w:rsidRPr="00512EF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83" w:name="_Toc531101142"/>
      <w:r>
        <w:rPr>
          <w:rFonts w:ascii="Titillium Up" w:hAnsi="Titillium Up" w:cs="Arial"/>
          <w:b/>
          <w:bCs/>
          <w:caps/>
          <w:color w:val="0070C0"/>
          <w:w w:val="94"/>
          <w:sz w:val="28"/>
          <w:szCs w:val="28"/>
        </w:rPr>
        <w:t>5</w:t>
      </w:r>
      <w:r w:rsidR="00F05BEF" w:rsidRPr="00512EF9">
        <w:rPr>
          <w:rFonts w:ascii="Titillium Up" w:hAnsi="Titillium Up" w:cs="Arial"/>
          <w:b/>
          <w:bCs/>
          <w:caps/>
          <w:color w:val="0070C0"/>
          <w:w w:val="94"/>
          <w:sz w:val="28"/>
          <w:szCs w:val="28"/>
        </w:rPr>
        <w:t>.</w:t>
      </w:r>
      <w:r w:rsidR="00603D2F">
        <w:rPr>
          <w:rFonts w:ascii="Titillium Up" w:hAnsi="Titillium Up" w:cs="Arial"/>
          <w:b/>
          <w:bCs/>
          <w:caps/>
          <w:color w:val="0070C0"/>
          <w:w w:val="94"/>
          <w:sz w:val="28"/>
          <w:szCs w:val="28"/>
        </w:rPr>
        <w:t>9</w:t>
      </w:r>
      <w:r w:rsidR="00F05BEF" w:rsidRPr="00512EF9">
        <w:rPr>
          <w:rFonts w:ascii="Titillium Up" w:hAnsi="Titillium Up" w:cs="Arial"/>
          <w:b/>
          <w:bCs/>
          <w:caps/>
          <w:color w:val="0070C0"/>
          <w:w w:val="94"/>
          <w:sz w:val="28"/>
          <w:szCs w:val="28"/>
        </w:rPr>
        <w:t xml:space="preserve"> Premi lordi e massimali</w:t>
      </w:r>
      <w:bookmarkEnd w:id="83"/>
    </w:p>
    <w:p w14:paraId="2C539453" w14:textId="77777777" w:rsidR="00603D2F" w:rsidRPr="00246D80" w:rsidRDefault="00603D2F" w:rsidP="00246D80">
      <w:pPr>
        <w:tabs>
          <w:tab w:val="left" w:pos="426"/>
        </w:tabs>
        <w:autoSpaceDE w:val="0"/>
        <w:autoSpaceDN w:val="0"/>
        <w:adjustRightInd w:val="0"/>
        <w:jc w:val="both"/>
        <w:rPr>
          <w:rFonts w:ascii="Titillium Up" w:hAnsi="Titillium Up"/>
          <w:bCs/>
          <w:iCs/>
          <w:sz w:val="24"/>
          <w:szCs w:val="24"/>
        </w:rPr>
      </w:pPr>
      <w:bookmarkStart w:id="84" w:name="_Toc531101136"/>
      <w:bookmarkStart w:id="85" w:name="_Toc373398552"/>
      <w:bookmarkStart w:id="86" w:name="_Toc373398578"/>
      <w:r w:rsidRPr="00246D80">
        <w:rPr>
          <w:rFonts w:ascii="Titillium Up" w:hAnsi="Titillium Up"/>
          <w:bCs/>
          <w:iCs/>
          <w:sz w:val="24"/>
          <w:szCs w:val="24"/>
        </w:rPr>
        <w:t>Combinazioni di garanzie polizza r.c. Ammanchi di cassa e r.c. Professionale</w:t>
      </w:r>
    </w:p>
    <w:tbl>
      <w:tblPr>
        <w:tblW w:w="10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2005"/>
        <w:gridCol w:w="1423"/>
        <w:gridCol w:w="1750"/>
        <w:gridCol w:w="1712"/>
        <w:gridCol w:w="1417"/>
        <w:gridCol w:w="1119"/>
      </w:tblGrid>
      <w:tr w:rsidR="00954EE3" w:rsidRPr="00246D80" w14:paraId="4222B514" w14:textId="77777777" w:rsidTr="00972220">
        <w:trPr>
          <w:trHeight w:val="742"/>
        </w:trPr>
        <w:tc>
          <w:tcPr>
            <w:tcW w:w="946" w:type="dxa"/>
            <w:tcBorders>
              <w:top w:val="single" w:sz="4" w:space="0" w:color="auto"/>
              <w:left w:val="single" w:sz="4" w:space="0" w:color="auto"/>
              <w:bottom w:val="single" w:sz="4" w:space="0" w:color="auto"/>
              <w:right w:val="single" w:sz="4" w:space="0" w:color="auto"/>
            </w:tcBorders>
          </w:tcPr>
          <w:p w14:paraId="696AD273" w14:textId="77777777" w:rsidR="00954EE3" w:rsidRPr="00246D80" w:rsidRDefault="00954EE3" w:rsidP="00972220">
            <w:pPr>
              <w:autoSpaceDE w:val="0"/>
              <w:autoSpaceDN w:val="0"/>
              <w:adjustRightInd w:val="0"/>
              <w:jc w:val="center"/>
              <w:rPr>
                <w:rFonts w:ascii="Titillium Up" w:hAnsi="Titillium Up"/>
                <w:b/>
                <w:sz w:val="24"/>
                <w:szCs w:val="24"/>
              </w:rPr>
            </w:pPr>
            <w:r w:rsidRPr="00246D80">
              <w:rPr>
                <w:rFonts w:ascii="Titillium Up" w:hAnsi="Titillium Up"/>
                <w:b/>
                <w:sz w:val="24"/>
                <w:szCs w:val="24"/>
              </w:rPr>
              <w:t>opzioni</w:t>
            </w:r>
          </w:p>
        </w:tc>
        <w:tc>
          <w:tcPr>
            <w:tcW w:w="2005" w:type="dxa"/>
            <w:tcBorders>
              <w:top w:val="single" w:sz="4" w:space="0" w:color="auto"/>
              <w:left w:val="single" w:sz="4" w:space="0" w:color="auto"/>
              <w:bottom w:val="single" w:sz="4" w:space="0" w:color="auto"/>
              <w:right w:val="single" w:sz="4" w:space="0" w:color="auto"/>
            </w:tcBorders>
          </w:tcPr>
          <w:p w14:paraId="4218860E" w14:textId="77777777" w:rsidR="00954EE3" w:rsidRPr="00246D80" w:rsidRDefault="00954EE3" w:rsidP="00972220">
            <w:pPr>
              <w:autoSpaceDE w:val="0"/>
              <w:autoSpaceDN w:val="0"/>
              <w:adjustRightInd w:val="0"/>
              <w:jc w:val="center"/>
              <w:rPr>
                <w:rFonts w:ascii="Titillium Up" w:hAnsi="Titillium Up"/>
                <w:b/>
                <w:sz w:val="24"/>
                <w:szCs w:val="24"/>
              </w:rPr>
            </w:pPr>
            <w:r w:rsidRPr="00246D80">
              <w:rPr>
                <w:rFonts w:ascii="Titillium Up" w:hAnsi="Titillium Up"/>
                <w:b/>
                <w:sz w:val="24"/>
                <w:szCs w:val="24"/>
              </w:rPr>
              <w:t>Massimali per sinistro e per anno assicurativo</w:t>
            </w:r>
          </w:p>
        </w:tc>
        <w:tc>
          <w:tcPr>
            <w:tcW w:w="1423" w:type="dxa"/>
            <w:tcBorders>
              <w:top w:val="single" w:sz="4" w:space="0" w:color="auto"/>
              <w:left w:val="single" w:sz="4" w:space="0" w:color="auto"/>
              <w:bottom w:val="single" w:sz="4" w:space="0" w:color="auto"/>
              <w:right w:val="single" w:sz="4" w:space="0" w:color="auto"/>
            </w:tcBorders>
          </w:tcPr>
          <w:p w14:paraId="41DB9FBA" w14:textId="77777777" w:rsidR="00954EE3" w:rsidRPr="00246D80" w:rsidRDefault="00954EE3" w:rsidP="00972220">
            <w:pPr>
              <w:autoSpaceDE w:val="0"/>
              <w:autoSpaceDN w:val="0"/>
              <w:adjustRightInd w:val="0"/>
              <w:jc w:val="center"/>
              <w:rPr>
                <w:rFonts w:ascii="Titillium Up" w:hAnsi="Titillium Up"/>
                <w:b/>
                <w:sz w:val="24"/>
                <w:szCs w:val="24"/>
              </w:rPr>
            </w:pPr>
            <w:r w:rsidRPr="00246D80">
              <w:rPr>
                <w:rFonts w:ascii="Titillium Up" w:hAnsi="Titillium Up"/>
                <w:b/>
                <w:sz w:val="24"/>
                <w:szCs w:val="24"/>
              </w:rPr>
              <w:t>Premio lordo annuo</w:t>
            </w:r>
          </w:p>
          <w:p w14:paraId="218B77D7" w14:textId="77777777" w:rsidR="00954EE3" w:rsidRPr="00246D80" w:rsidRDefault="00954EE3" w:rsidP="00972220">
            <w:pPr>
              <w:autoSpaceDE w:val="0"/>
              <w:autoSpaceDN w:val="0"/>
              <w:adjustRightInd w:val="0"/>
              <w:jc w:val="center"/>
              <w:rPr>
                <w:rFonts w:ascii="Titillium Up" w:hAnsi="Titillium Up"/>
                <w:b/>
                <w:sz w:val="24"/>
                <w:szCs w:val="24"/>
              </w:rPr>
            </w:pPr>
            <w:r w:rsidRPr="00246D80">
              <w:rPr>
                <w:rFonts w:ascii="Titillium Up" w:hAnsi="Titillium Up"/>
                <w:b/>
                <w:sz w:val="24"/>
                <w:szCs w:val="24"/>
              </w:rPr>
              <w:t>202</w:t>
            </w:r>
            <w:r>
              <w:rPr>
                <w:rFonts w:ascii="Titillium Up" w:hAnsi="Titillium Up"/>
                <w:b/>
                <w:sz w:val="24"/>
                <w:szCs w:val="24"/>
              </w:rPr>
              <w:t>2</w:t>
            </w:r>
          </w:p>
        </w:tc>
        <w:tc>
          <w:tcPr>
            <w:tcW w:w="1750" w:type="dxa"/>
            <w:tcBorders>
              <w:top w:val="single" w:sz="4" w:space="0" w:color="auto"/>
              <w:left w:val="single" w:sz="4" w:space="0" w:color="auto"/>
              <w:bottom w:val="single" w:sz="4" w:space="0" w:color="auto"/>
              <w:right w:val="single" w:sz="4" w:space="0" w:color="auto"/>
            </w:tcBorders>
          </w:tcPr>
          <w:p w14:paraId="7E8141B4" w14:textId="77777777" w:rsidR="00954EE3" w:rsidRPr="00246D80" w:rsidRDefault="00954EE3" w:rsidP="00972220">
            <w:pPr>
              <w:autoSpaceDE w:val="0"/>
              <w:autoSpaceDN w:val="0"/>
              <w:adjustRightInd w:val="0"/>
              <w:jc w:val="center"/>
              <w:rPr>
                <w:rFonts w:ascii="Titillium Up" w:hAnsi="Titillium Up"/>
                <w:b/>
                <w:sz w:val="24"/>
                <w:szCs w:val="24"/>
              </w:rPr>
            </w:pPr>
            <w:r w:rsidRPr="00246D80">
              <w:rPr>
                <w:rFonts w:ascii="Titillium Up" w:hAnsi="Titillium Up"/>
                <w:b/>
                <w:sz w:val="24"/>
                <w:szCs w:val="24"/>
              </w:rPr>
              <w:t>Premio lordo dal 01/07/202</w:t>
            </w:r>
            <w:r>
              <w:rPr>
                <w:rFonts w:ascii="Titillium Up" w:hAnsi="Titillium Up"/>
                <w:b/>
                <w:sz w:val="24"/>
                <w:szCs w:val="24"/>
              </w:rPr>
              <w:t>2</w:t>
            </w:r>
          </w:p>
          <w:p w14:paraId="3FC284FC" w14:textId="77777777" w:rsidR="00954EE3" w:rsidRPr="00246D80" w:rsidRDefault="00954EE3" w:rsidP="00972220">
            <w:pPr>
              <w:autoSpaceDE w:val="0"/>
              <w:autoSpaceDN w:val="0"/>
              <w:adjustRightInd w:val="0"/>
              <w:jc w:val="center"/>
              <w:rPr>
                <w:rFonts w:ascii="Titillium Up" w:hAnsi="Titillium Up"/>
                <w:b/>
                <w:sz w:val="24"/>
                <w:szCs w:val="24"/>
              </w:rPr>
            </w:pPr>
            <w:r w:rsidRPr="00246D80">
              <w:rPr>
                <w:rFonts w:ascii="Titillium Up" w:hAnsi="Titillium Up"/>
                <w:b/>
                <w:sz w:val="24"/>
                <w:szCs w:val="24"/>
              </w:rPr>
              <w:t>Al 31/12/202</w:t>
            </w:r>
            <w:r>
              <w:rPr>
                <w:rFonts w:ascii="Titillium Up" w:hAnsi="Titillium Up"/>
                <w:b/>
                <w:sz w:val="24"/>
                <w:szCs w:val="24"/>
              </w:rPr>
              <w:t>2</w:t>
            </w:r>
          </w:p>
        </w:tc>
        <w:tc>
          <w:tcPr>
            <w:tcW w:w="1712" w:type="dxa"/>
            <w:tcBorders>
              <w:top w:val="single" w:sz="4" w:space="0" w:color="auto"/>
              <w:left w:val="single" w:sz="4" w:space="0" w:color="auto"/>
              <w:bottom w:val="single" w:sz="4" w:space="0" w:color="auto"/>
              <w:right w:val="single" w:sz="4" w:space="0" w:color="auto"/>
            </w:tcBorders>
          </w:tcPr>
          <w:p w14:paraId="24749549" w14:textId="77777777" w:rsidR="00954EE3" w:rsidRPr="00246D80" w:rsidRDefault="00954EE3" w:rsidP="00972220">
            <w:pPr>
              <w:autoSpaceDE w:val="0"/>
              <w:autoSpaceDN w:val="0"/>
              <w:adjustRightInd w:val="0"/>
              <w:jc w:val="center"/>
              <w:rPr>
                <w:rFonts w:ascii="Titillium Up" w:hAnsi="Titillium Up"/>
                <w:b/>
                <w:sz w:val="24"/>
                <w:szCs w:val="24"/>
              </w:rPr>
            </w:pPr>
            <w:r w:rsidRPr="00246D80">
              <w:rPr>
                <w:rFonts w:ascii="Titillium Up" w:hAnsi="Titillium Up"/>
                <w:b/>
                <w:sz w:val="24"/>
                <w:szCs w:val="24"/>
              </w:rPr>
              <w:t>Premio lordo dal 01/</w:t>
            </w:r>
            <w:r>
              <w:rPr>
                <w:rFonts w:ascii="Titillium Up" w:hAnsi="Titillium Up"/>
                <w:b/>
                <w:sz w:val="24"/>
                <w:szCs w:val="24"/>
              </w:rPr>
              <w:t>10</w:t>
            </w:r>
            <w:r w:rsidRPr="00246D80">
              <w:rPr>
                <w:rFonts w:ascii="Titillium Up" w:hAnsi="Titillium Up"/>
                <w:b/>
                <w:sz w:val="24"/>
                <w:szCs w:val="24"/>
              </w:rPr>
              <w:t>/202</w:t>
            </w:r>
            <w:r>
              <w:rPr>
                <w:rFonts w:ascii="Titillium Up" w:hAnsi="Titillium Up"/>
                <w:b/>
                <w:sz w:val="24"/>
                <w:szCs w:val="24"/>
              </w:rPr>
              <w:t>2</w:t>
            </w:r>
          </w:p>
          <w:p w14:paraId="278FCDEA" w14:textId="77777777" w:rsidR="00954EE3" w:rsidRPr="00246D80" w:rsidRDefault="00954EE3" w:rsidP="00972220">
            <w:pPr>
              <w:autoSpaceDE w:val="0"/>
              <w:autoSpaceDN w:val="0"/>
              <w:adjustRightInd w:val="0"/>
              <w:jc w:val="center"/>
              <w:rPr>
                <w:rFonts w:ascii="Titillium Up" w:hAnsi="Titillium Up"/>
                <w:b/>
                <w:sz w:val="24"/>
                <w:szCs w:val="24"/>
              </w:rPr>
            </w:pPr>
            <w:r w:rsidRPr="00246D80">
              <w:rPr>
                <w:rFonts w:ascii="Titillium Up" w:hAnsi="Titillium Up"/>
                <w:b/>
                <w:sz w:val="24"/>
                <w:szCs w:val="24"/>
              </w:rPr>
              <w:t>Al 31/12/202</w:t>
            </w:r>
            <w:r>
              <w:rPr>
                <w:rFonts w:ascii="Titillium Up" w:hAnsi="Titillium Up"/>
                <w:b/>
                <w:sz w:val="24"/>
                <w:szCs w:val="24"/>
              </w:rPr>
              <w:t>2</w:t>
            </w:r>
          </w:p>
        </w:tc>
        <w:tc>
          <w:tcPr>
            <w:tcW w:w="2536" w:type="dxa"/>
            <w:gridSpan w:val="2"/>
            <w:tcBorders>
              <w:top w:val="single" w:sz="4" w:space="0" w:color="auto"/>
              <w:left w:val="single" w:sz="4" w:space="0" w:color="auto"/>
              <w:bottom w:val="single" w:sz="4" w:space="0" w:color="auto"/>
              <w:right w:val="single" w:sz="4" w:space="0" w:color="auto"/>
            </w:tcBorders>
          </w:tcPr>
          <w:p w14:paraId="52DB4CEB" w14:textId="77777777" w:rsidR="00954EE3" w:rsidRPr="00246D80" w:rsidRDefault="00954EE3" w:rsidP="00972220">
            <w:pPr>
              <w:autoSpaceDE w:val="0"/>
              <w:autoSpaceDN w:val="0"/>
              <w:adjustRightInd w:val="0"/>
              <w:jc w:val="center"/>
              <w:rPr>
                <w:rFonts w:ascii="Titillium Up" w:hAnsi="Titillium Up"/>
                <w:b/>
                <w:sz w:val="24"/>
                <w:szCs w:val="24"/>
              </w:rPr>
            </w:pPr>
            <w:r w:rsidRPr="00246D80">
              <w:rPr>
                <w:rFonts w:ascii="Titillium Up" w:hAnsi="Titillium Up"/>
                <w:b/>
                <w:sz w:val="24"/>
                <w:szCs w:val="24"/>
              </w:rPr>
              <w:t>Franchigia e Scoperto</w:t>
            </w:r>
          </w:p>
        </w:tc>
      </w:tr>
      <w:tr w:rsidR="00077709" w:rsidRPr="00246D80" w14:paraId="6A70F05C" w14:textId="77777777" w:rsidTr="00972220">
        <w:trPr>
          <w:trHeight w:val="277"/>
        </w:trPr>
        <w:tc>
          <w:tcPr>
            <w:tcW w:w="946" w:type="dxa"/>
            <w:vMerge w:val="restart"/>
            <w:tcBorders>
              <w:top w:val="single" w:sz="4" w:space="0" w:color="auto"/>
              <w:left w:val="single" w:sz="4" w:space="0" w:color="auto"/>
              <w:right w:val="single" w:sz="4" w:space="0" w:color="auto"/>
            </w:tcBorders>
          </w:tcPr>
          <w:p w14:paraId="488994B6"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1B</w:t>
            </w:r>
          </w:p>
        </w:tc>
        <w:tc>
          <w:tcPr>
            <w:tcW w:w="2005" w:type="dxa"/>
            <w:vMerge w:val="restart"/>
            <w:tcBorders>
              <w:top w:val="single" w:sz="4" w:space="0" w:color="auto"/>
              <w:left w:val="single" w:sz="4" w:space="0" w:color="auto"/>
              <w:right w:val="single" w:sz="4" w:space="0" w:color="auto"/>
            </w:tcBorders>
          </w:tcPr>
          <w:p w14:paraId="611AD8CA" w14:textId="77777777" w:rsidR="00077709" w:rsidRPr="00246D80" w:rsidRDefault="00077709" w:rsidP="00077709">
            <w:pPr>
              <w:autoSpaceDE w:val="0"/>
              <w:autoSpaceDN w:val="0"/>
              <w:adjustRightInd w:val="0"/>
              <w:rPr>
                <w:rFonts w:ascii="Titillium Up" w:hAnsi="Titillium Up"/>
                <w:b/>
                <w:sz w:val="24"/>
                <w:szCs w:val="24"/>
              </w:rPr>
            </w:pPr>
            <w:r w:rsidRPr="00246D80">
              <w:rPr>
                <w:rFonts w:ascii="Titillium Up" w:hAnsi="Titillium Up"/>
                <w:b/>
                <w:sz w:val="24"/>
                <w:szCs w:val="24"/>
              </w:rPr>
              <w:t xml:space="preserve">Ammanco di cassa </w:t>
            </w:r>
          </w:p>
          <w:p w14:paraId="5DFBB2F2" w14:textId="77777777" w:rsidR="00077709" w:rsidRPr="00246D80" w:rsidRDefault="00077709" w:rsidP="00077709">
            <w:pPr>
              <w:autoSpaceDE w:val="0"/>
              <w:autoSpaceDN w:val="0"/>
              <w:adjustRightInd w:val="0"/>
              <w:rPr>
                <w:rFonts w:ascii="Titillium Up" w:hAnsi="Titillium Up"/>
                <w:b/>
                <w:sz w:val="24"/>
                <w:szCs w:val="24"/>
              </w:rPr>
            </w:pPr>
            <w:r w:rsidRPr="00246D80">
              <w:rPr>
                <w:rFonts w:ascii="Titillium Up" w:hAnsi="Titillium Up"/>
                <w:b/>
                <w:sz w:val="24"/>
                <w:szCs w:val="24"/>
              </w:rPr>
              <w:t>€ 7.500,00</w:t>
            </w:r>
          </w:p>
          <w:p w14:paraId="1C0CC788" w14:textId="77777777" w:rsidR="00077709" w:rsidRPr="00246D80" w:rsidRDefault="00077709" w:rsidP="00077709">
            <w:pPr>
              <w:autoSpaceDE w:val="0"/>
              <w:autoSpaceDN w:val="0"/>
              <w:adjustRightInd w:val="0"/>
              <w:rPr>
                <w:rFonts w:ascii="Titillium Up" w:hAnsi="Titillium Up"/>
                <w:b/>
                <w:sz w:val="24"/>
                <w:szCs w:val="24"/>
              </w:rPr>
            </w:pPr>
          </w:p>
          <w:p w14:paraId="314F692D" w14:textId="77777777" w:rsidR="00077709" w:rsidRPr="00246D80" w:rsidRDefault="00077709" w:rsidP="00077709">
            <w:pPr>
              <w:autoSpaceDE w:val="0"/>
              <w:autoSpaceDN w:val="0"/>
              <w:adjustRightInd w:val="0"/>
              <w:rPr>
                <w:rFonts w:ascii="Titillium Up" w:hAnsi="Titillium Up"/>
                <w:b/>
                <w:sz w:val="24"/>
                <w:szCs w:val="24"/>
              </w:rPr>
            </w:pPr>
          </w:p>
          <w:p w14:paraId="4E82A2BD" w14:textId="77777777" w:rsidR="00077709" w:rsidRPr="00246D80" w:rsidRDefault="00077709" w:rsidP="00077709">
            <w:pPr>
              <w:autoSpaceDE w:val="0"/>
              <w:autoSpaceDN w:val="0"/>
              <w:adjustRightInd w:val="0"/>
              <w:rPr>
                <w:rFonts w:ascii="Titillium Up" w:hAnsi="Titillium Up"/>
                <w:b/>
                <w:sz w:val="24"/>
                <w:szCs w:val="24"/>
              </w:rPr>
            </w:pPr>
            <w:r w:rsidRPr="00246D80">
              <w:rPr>
                <w:rFonts w:ascii="Titillium Up" w:hAnsi="Titillium Up"/>
                <w:b/>
                <w:sz w:val="24"/>
                <w:szCs w:val="24"/>
              </w:rPr>
              <w:t>R.C. Professionale</w:t>
            </w:r>
          </w:p>
          <w:p w14:paraId="04A9F9C4" w14:textId="77777777" w:rsidR="00077709" w:rsidRPr="00246D80" w:rsidRDefault="00077709" w:rsidP="00077709">
            <w:pPr>
              <w:autoSpaceDE w:val="0"/>
              <w:autoSpaceDN w:val="0"/>
              <w:adjustRightInd w:val="0"/>
              <w:rPr>
                <w:rFonts w:ascii="Titillium Up" w:hAnsi="Titillium Up"/>
                <w:b/>
                <w:sz w:val="24"/>
                <w:szCs w:val="24"/>
              </w:rPr>
            </w:pPr>
            <w:r w:rsidRPr="00246D80">
              <w:rPr>
                <w:rFonts w:ascii="Titillium Up" w:hAnsi="Titillium Up"/>
                <w:b/>
                <w:sz w:val="24"/>
                <w:szCs w:val="24"/>
              </w:rPr>
              <w:t>€ 25.000,00 per sinistro e per anno assicurativo</w:t>
            </w:r>
          </w:p>
          <w:p w14:paraId="07DF8429" w14:textId="77777777" w:rsidR="00077709" w:rsidRPr="00246D80" w:rsidRDefault="00077709" w:rsidP="00077709">
            <w:pPr>
              <w:autoSpaceDE w:val="0"/>
              <w:autoSpaceDN w:val="0"/>
              <w:adjustRightInd w:val="0"/>
              <w:rPr>
                <w:rFonts w:ascii="Titillium Up" w:hAnsi="Titillium Up"/>
                <w:b/>
                <w:sz w:val="24"/>
                <w:szCs w:val="24"/>
              </w:rPr>
            </w:pPr>
          </w:p>
        </w:tc>
        <w:tc>
          <w:tcPr>
            <w:tcW w:w="1423" w:type="dxa"/>
            <w:vMerge w:val="restart"/>
            <w:tcBorders>
              <w:top w:val="single" w:sz="4" w:space="0" w:color="auto"/>
              <w:left w:val="single" w:sz="4" w:space="0" w:color="auto"/>
              <w:right w:val="single" w:sz="4" w:space="0" w:color="auto"/>
            </w:tcBorders>
            <w:vAlign w:val="center"/>
          </w:tcPr>
          <w:p w14:paraId="24DDD5F7" w14:textId="24ED6B1E" w:rsidR="00077709" w:rsidRPr="002F7B1D" w:rsidRDefault="00077709" w:rsidP="00077709">
            <w:pPr>
              <w:autoSpaceDE w:val="0"/>
              <w:autoSpaceDN w:val="0"/>
              <w:adjustRightInd w:val="0"/>
              <w:jc w:val="center"/>
              <w:rPr>
                <w:b/>
                <w:sz w:val="24"/>
                <w:szCs w:val="24"/>
              </w:rPr>
            </w:pPr>
            <w:r w:rsidRPr="002F7B1D">
              <w:rPr>
                <w:b/>
                <w:sz w:val="24"/>
                <w:szCs w:val="24"/>
              </w:rPr>
              <w:t>€ 114,00</w:t>
            </w:r>
          </w:p>
        </w:tc>
        <w:tc>
          <w:tcPr>
            <w:tcW w:w="1750" w:type="dxa"/>
            <w:vMerge w:val="restart"/>
            <w:tcBorders>
              <w:top w:val="single" w:sz="4" w:space="0" w:color="auto"/>
              <w:left w:val="single" w:sz="4" w:space="0" w:color="auto"/>
              <w:right w:val="single" w:sz="4" w:space="0" w:color="auto"/>
            </w:tcBorders>
            <w:vAlign w:val="center"/>
          </w:tcPr>
          <w:p w14:paraId="6D6619A1" w14:textId="19DDB9A9" w:rsidR="00077709" w:rsidRPr="002F7B1D" w:rsidRDefault="00077709" w:rsidP="00077709">
            <w:pPr>
              <w:autoSpaceDE w:val="0"/>
              <w:autoSpaceDN w:val="0"/>
              <w:adjustRightInd w:val="0"/>
              <w:jc w:val="center"/>
              <w:rPr>
                <w:b/>
                <w:sz w:val="24"/>
                <w:szCs w:val="24"/>
              </w:rPr>
            </w:pPr>
            <w:r w:rsidRPr="002F7B1D">
              <w:rPr>
                <w:b/>
                <w:sz w:val="24"/>
                <w:szCs w:val="24"/>
              </w:rPr>
              <w:t>€ 68,00</w:t>
            </w:r>
          </w:p>
        </w:tc>
        <w:tc>
          <w:tcPr>
            <w:tcW w:w="1712" w:type="dxa"/>
            <w:vMerge w:val="restart"/>
            <w:tcBorders>
              <w:top w:val="single" w:sz="4" w:space="0" w:color="auto"/>
              <w:left w:val="single" w:sz="4" w:space="0" w:color="auto"/>
              <w:right w:val="single" w:sz="4" w:space="0" w:color="auto"/>
            </w:tcBorders>
            <w:vAlign w:val="center"/>
          </w:tcPr>
          <w:p w14:paraId="00F21879" w14:textId="6DC01A21" w:rsidR="00077709" w:rsidRPr="002F7B1D" w:rsidRDefault="00077709" w:rsidP="00077709">
            <w:pPr>
              <w:autoSpaceDE w:val="0"/>
              <w:autoSpaceDN w:val="0"/>
              <w:adjustRightInd w:val="0"/>
              <w:jc w:val="center"/>
              <w:rPr>
                <w:b/>
                <w:sz w:val="24"/>
                <w:szCs w:val="24"/>
              </w:rPr>
            </w:pPr>
            <w:r w:rsidRPr="002F7B1D">
              <w:rPr>
                <w:b/>
                <w:sz w:val="24"/>
                <w:szCs w:val="24"/>
              </w:rPr>
              <w:t>€ 42,00</w:t>
            </w:r>
          </w:p>
        </w:tc>
        <w:tc>
          <w:tcPr>
            <w:tcW w:w="2536" w:type="dxa"/>
            <w:gridSpan w:val="2"/>
            <w:tcBorders>
              <w:top w:val="single" w:sz="4" w:space="0" w:color="auto"/>
              <w:left w:val="single" w:sz="4" w:space="0" w:color="auto"/>
              <w:bottom w:val="single" w:sz="4" w:space="0" w:color="auto"/>
              <w:right w:val="single" w:sz="4" w:space="0" w:color="auto"/>
            </w:tcBorders>
          </w:tcPr>
          <w:p w14:paraId="62A18B7C"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AMMANCHI</w:t>
            </w:r>
          </w:p>
        </w:tc>
      </w:tr>
      <w:tr w:rsidR="00077709" w:rsidRPr="00246D80" w14:paraId="664F6F5B" w14:textId="77777777" w:rsidTr="00972220">
        <w:trPr>
          <w:trHeight w:val="341"/>
        </w:trPr>
        <w:tc>
          <w:tcPr>
            <w:tcW w:w="946" w:type="dxa"/>
            <w:vMerge/>
            <w:tcBorders>
              <w:left w:val="single" w:sz="4" w:space="0" w:color="auto"/>
              <w:right w:val="single" w:sz="4" w:space="0" w:color="auto"/>
            </w:tcBorders>
          </w:tcPr>
          <w:p w14:paraId="09C1D656" w14:textId="77777777" w:rsidR="00077709" w:rsidRPr="00246D80" w:rsidRDefault="00077709" w:rsidP="00077709">
            <w:pPr>
              <w:autoSpaceDE w:val="0"/>
              <w:autoSpaceDN w:val="0"/>
              <w:adjustRightInd w:val="0"/>
              <w:jc w:val="center"/>
              <w:rPr>
                <w:rFonts w:ascii="Titillium Up" w:hAnsi="Titillium Up"/>
                <w:b/>
                <w:sz w:val="24"/>
                <w:szCs w:val="24"/>
              </w:rPr>
            </w:pPr>
          </w:p>
        </w:tc>
        <w:tc>
          <w:tcPr>
            <w:tcW w:w="2005" w:type="dxa"/>
            <w:vMerge/>
            <w:tcBorders>
              <w:left w:val="single" w:sz="4" w:space="0" w:color="auto"/>
              <w:right w:val="single" w:sz="4" w:space="0" w:color="auto"/>
            </w:tcBorders>
          </w:tcPr>
          <w:p w14:paraId="6C485DB5" w14:textId="77777777" w:rsidR="00077709" w:rsidRPr="00246D80" w:rsidRDefault="00077709" w:rsidP="00077709">
            <w:pPr>
              <w:autoSpaceDE w:val="0"/>
              <w:autoSpaceDN w:val="0"/>
              <w:adjustRightInd w:val="0"/>
              <w:rPr>
                <w:rFonts w:ascii="Titillium Up" w:hAnsi="Titillium Up"/>
                <w:b/>
                <w:sz w:val="24"/>
                <w:szCs w:val="24"/>
              </w:rPr>
            </w:pPr>
          </w:p>
        </w:tc>
        <w:tc>
          <w:tcPr>
            <w:tcW w:w="1423" w:type="dxa"/>
            <w:vMerge/>
            <w:tcBorders>
              <w:left w:val="single" w:sz="4" w:space="0" w:color="auto"/>
              <w:right w:val="single" w:sz="4" w:space="0" w:color="auto"/>
            </w:tcBorders>
          </w:tcPr>
          <w:p w14:paraId="2F3FD8FF" w14:textId="77777777" w:rsidR="00077709" w:rsidRPr="002F7B1D" w:rsidRDefault="00077709" w:rsidP="00077709">
            <w:pPr>
              <w:autoSpaceDE w:val="0"/>
              <w:autoSpaceDN w:val="0"/>
              <w:adjustRightInd w:val="0"/>
              <w:rPr>
                <w:b/>
                <w:sz w:val="24"/>
                <w:szCs w:val="24"/>
              </w:rPr>
            </w:pPr>
          </w:p>
        </w:tc>
        <w:tc>
          <w:tcPr>
            <w:tcW w:w="1750" w:type="dxa"/>
            <w:vMerge/>
            <w:tcBorders>
              <w:left w:val="single" w:sz="4" w:space="0" w:color="auto"/>
              <w:right w:val="single" w:sz="4" w:space="0" w:color="auto"/>
            </w:tcBorders>
            <w:vAlign w:val="center"/>
          </w:tcPr>
          <w:p w14:paraId="3F748C5F" w14:textId="77777777" w:rsidR="00077709" w:rsidRPr="002F7B1D" w:rsidRDefault="00077709" w:rsidP="00077709">
            <w:pPr>
              <w:autoSpaceDE w:val="0"/>
              <w:autoSpaceDN w:val="0"/>
              <w:adjustRightInd w:val="0"/>
              <w:jc w:val="center"/>
              <w:rPr>
                <w:b/>
                <w:sz w:val="24"/>
                <w:szCs w:val="24"/>
              </w:rPr>
            </w:pPr>
          </w:p>
        </w:tc>
        <w:tc>
          <w:tcPr>
            <w:tcW w:w="1712" w:type="dxa"/>
            <w:vMerge/>
            <w:tcBorders>
              <w:left w:val="single" w:sz="4" w:space="0" w:color="auto"/>
              <w:right w:val="single" w:sz="4" w:space="0" w:color="auto"/>
            </w:tcBorders>
            <w:vAlign w:val="center"/>
          </w:tcPr>
          <w:p w14:paraId="7539FB44" w14:textId="77777777" w:rsidR="00077709" w:rsidRPr="002F7B1D" w:rsidRDefault="00077709" w:rsidP="00077709">
            <w:pPr>
              <w:autoSpaceDE w:val="0"/>
              <w:autoSpaceDN w:val="0"/>
              <w:adjustRightInd w:val="0"/>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C6948FA"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1° sinistro</w:t>
            </w:r>
          </w:p>
        </w:tc>
        <w:tc>
          <w:tcPr>
            <w:tcW w:w="1119" w:type="dxa"/>
            <w:tcBorders>
              <w:top w:val="single" w:sz="4" w:space="0" w:color="auto"/>
              <w:left w:val="single" w:sz="4" w:space="0" w:color="auto"/>
              <w:bottom w:val="single" w:sz="4" w:space="0" w:color="auto"/>
              <w:right w:val="single" w:sz="4" w:space="0" w:color="auto"/>
            </w:tcBorders>
          </w:tcPr>
          <w:p w14:paraId="7E218099"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 xml:space="preserve">€ 0,00 </w:t>
            </w:r>
          </w:p>
        </w:tc>
      </w:tr>
      <w:tr w:rsidR="00077709" w:rsidRPr="00246D80" w14:paraId="4C204D16" w14:textId="77777777" w:rsidTr="00972220">
        <w:trPr>
          <w:trHeight w:val="315"/>
        </w:trPr>
        <w:tc>
          <w:tcPr>
            <w:tcW w:w="946" w:type="dxa"/>
            <w:vMerge/>
            <w:tcBorders>
              <w:left w:val="single" w:sz="4" w:space="0" w:color="auto"/>
              <w:right w:val="single" w:sz="4" w:space="0" w:color="auto"/>
            </w:tcBorders>
          </w:tcPr>
          <w:p w14:paraId="106FE6FB" w14:textId="77777777" w:rsidR="00077709" w:rsidRPr="00246D80" w:rsidRDefault="00077709" w:rsidP="00077709">
            <w:pPr>
              <w:autoSpaceDE w:val="0"/>
              <w:autoSpaceDN w:val="0"/>
              <w:adjustRightInd w:val="0"/>
              <w:jc w:val="center"/>
              <w:rPr>
                <w:rFonts w:ascii="Titillium Up" w:hAnsi="Titillium Up"/>
                <w:b/>
                <w:sz w:val="24"/>
                <w:szCs w:val="24"/>
              </w:rPr>
            </w:pPr>
          </w:p>
        </w:tc>
        <w:tc>
          <w:tcPr>
            <w:tcW w:w="2005" w:type="dxa"/>
            <w:vMerge/>
            <w:tcBorders>
              <w:left w:val="single" w:sz="4" w:space="0" w:color="auto"/>
              <w:right w:val="single" w:sz="4" w:space="0" w:color="auto"/>
            </w:tcBorders>
          </w:tcPr>
          <w:p w14:paraId="2FFCD465" w14:textId="77777777" w:rsidR="00077709" w:rsidRPr="00246D80" w:rsidRDefault="00077709" w:rsidP="00077709">
            <w:pPr>
              <w:autoSpaceDE w:val="0"/>
              <w:autoSpaceDN w:val="0"/>
              <w:adjustRightInd w:val="0"/>
              <w:rPr>
                <w:rFonts w:ascii="Titillium Up" w:hAnsi="Titillium Up"/>
                <w:b/>
                <w:sz w:val="24"/>
                <w:szCs w:val="24"/>
              </w:rPr>
            </w:pPr>
          </w:p>
        </w:tc>
        <w:tc>
          <w:tcPr>
            <w:tcW w:w="1423" w:type="dxa"/>
            <w:vMerge/>
            <w:tcBorders>
              <w:left w:val="single" w:sz="4" w:space="0" w:color="auto"/>
              <w:right w:val="single" w:sz="4" w:space="0" w:color="auto"/>
            </w:tcBorders>
          </w:tcPr>
          <w:p w14:paraId="116CFCCA" w14:textId="77777777" w:rsidR="00077709" w:rsidRPr="002F7B1D" w:rsidRDefault="00077709" w:rsidP="00077709">
            <w:pPr>
              <w:autoSpaceDE w:val="0"/>
              <w:autoSpaceDN w:val="0"/>
              <w:adjustRightInd w:val="0"/>
              <w:rPr>
                <w:b/>
                <w:sz w:val="24"/>
                <w:szCs w:val="24"/>
              </w:rPr>
            </w:pPr>
          </w:p>
        </w:tc>
        <w:tc>
          <w:tcPr>
            <w:tcW w:w="1750" w:type="dxa"/>
            <w:vMerge/>
            <w:tcBorders>
              <w:left w:val="single" w:sz="4" w:space="0" w:color="auto"/>
              <w:right w:val="single" w:sz="4" w:space="0" w:color="auto"/>
            </w:tcBorders>
            <w:vAlign w:val="center"/>
          </w:tcPr>
          <w:p w14:paraId="1D2A798C" w14:textId="77777777" w:rsidR="00077709" w:rsidRPr="002F7B1D" w:rsidRDefault="00077709" w:rsidP="00077709">
            <w:pPr>
              <w:autoSpaceDE w:val="0"/>
              <w:autoSpaceDN w:val="0"/>
              <w:adjustRightInd w:val="0"/>
              <w:jc w:val="center"/>
              <w:rPr>
                <w:b/>
                <w:sz w:val="24"/>
                <w:szCs w:val="24"/>
              </w:rPr>
            </w:pPr>
          </w:p>
        </w:tc>
        <w:tc>
          <w:tcPr>
            <w:tcW w:w="1712" w:type="dxa"/>
            <w:vMerge/>
            <w:tcBorders>
              <w:left w:val="single" w:sz="4" w:space="0" w:color="auto"/>
              <w:right w:val="single" w:sz="4" w:space="0" w:color="auto"/>
            </w:tcBorders>
            <w:vAlign w:val="center"/>
          </w:tcPr>
          <w:p w14:paraId="0185B120" w14:textId="77777777" w:rsidR="00077709" w:rsidRPr="002F7B1D" w:rsidRDefault="00077709" w:rsidP="00077709">
            <w:pPr>
              <w:autoSpaceDE w:val="0"/>
              <w:autoSpaceDN w:val="0"/>
              <w:adjustRightInd w:val="0"/>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E8D41F"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2° sinistro</w:t>
            </w:r>
          </w:p>
        </w:tc>
        <w:tc>
          <w:tcPr>
            <w:tcW w:w="1119" w:type="dxa"/>
            <w:tcBorders>
              <w:top w:val="single" w:sz="4" w:space="0" w:color="auto"/>
              <w:left w:val="single" w:sz="4" w:space="0" w:color="auto"/>
              <w:bottom w:val="single" w:sz="4" w:space="0" w:color="auto"/>
              <w:right w:val="single" w:sz="4" w:space="0" w:color="auto"/>
            </w:tcBorders>
          </w:tcPr>
          <w:p w14:paraId="7F1E6547"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 xml:space="preserve">€ 80,00 </w:t>
            </w:r>
          </w:p>
        </w:tc>
      </w:tr>
      <w:tr w:rsidR="00077709" w:rsidRPr="00246D80" w14:paraId="2640D11E" w14:textId="77777777" w:rsidTr="00972220">
        <w:trPr>
          <w:trHeight w:val="177"/>
        </w:trPr>
        <w:tc>
          <w:tcPr>
            <w:tcW w:w="946" w:type="dxa"/>
            <w:vMerge/>
            <w:tcBorders>
              <w:left w:val="single" w:sz="4" w:space="0" w:color="auto"/>
              <w:right w:val="single" w:sz="4" w:space="0" w:color="auto"/>
            </w:tcBorders>
          </w:tcPr>
          <w:p w14:paraId="0E3A3311" w14:textId="77777777" w:rsidR="00077709" w:rsidRPr="00246D80" w:rsidRDefault="00077709" w:rsidP="00077709">
            <w:pPr>
              <w:autoSpaceDE w:val="0"/>
              <w:autoSpaceDN w:val="0"/>
              <w:adjustRightInd w:val="0"/>
              <w:jc w:val="center"/>
              <w:rPr>
                <w:rFonts w:ascii="Titillium Up" w:hAnsi="Titillium Up"/>
                <w:b/>
                <w:sz w:val="24"/>
                <w:szCs w:val="24"/>
              </w:rPr>
            </w:pPr>
          </w:p>
        </w:tc>
        <w:tc>
          <w:tcPr>
            <w:tcW w:w="2005" w:type="dxa"/>
            <w:vMerge/>
            <w:tcBorders>
              <w:left w:val="single" w:sz="4" w:space="0" w:color="auto"/>
              <w:right w:val="single" w:sz="4" w:space="0" w:color="auto"/>
            </w:tcBorders>
          </w:tcPr>
          <w:p w14:paraId="69C5C021" w14:textId="77777777" w:rsidR="00077709" w:rsidRPr="00246D80" w:rsidRDefault="00077709" w:rsidP="00077709">
            <w:pPr>
              <w:autoSpaceDE w:val="0"/>
              <w:autoSpaceDN w:val="0"/>
              <w:adjustRightInd w:val="0"/>
              <w:rPr>
                <w:rFonts w:ascii="Titillium Up" w:hAnsi="Titillium Up"/>
                <w:b/>
                <w:sz w:val="24"/>
                <w:szCs w:val="24"/>
              </w:rPr>
            </w:pPr>
          </w:p>
        </w:tc>
        <w:tc>
          <w:tcPr>
            <w:tcW w:w="1423" w:type="dxa"/>
            <w:vMerge/>
            <w:tcBorders>
              <w:left w:val="single" w:sz="4" w:space="0" w:color="auto"/>
              <w:right w:val="single" w:sz="4" w:space="0" w:color="auto"/>
            </w:tcBorders>
          </w:tcPr>
          <w:p w14:paraId="6268B197" w14:textId="77777777" w:rsidR="00077709" w:rsidRPr="002F7B1D" w:rsidRDefault="00077709" w:rsidP="00077709">
            <w:pPr>
              <w:autoSpaceDE w:val="0"/>
              <w:autoSpaceDN w:val="0"/>
              <w:adjustRightInd w:val="0"/>
              <w:rPr>
                <w:b/>
                <w:sz w:val="24"/>
                <w:szCs w:val="24"/>
              </w:rPr>
            </w:pPr>
          </w:p>
        </w:tc>
        <w:tc>
          <w:tcPr>
            <w:tcW w:w="1750" w:type="dxa"/>
            <w:vMerge/>
            <w:tcBorders>
              <w:left w:val="single" w:sz="4" w:space="0" w:color="auto"/>
              <w:right w:val="single" w:sz="4" w:space="0" w:color="auto"/>
            </w:tcBorders>
            <w:vAlign w:val="center"/>
          </w:tcPr>
          <w:p w14:paraId="6571D481" w14:textId="77777777" w:rsidR="00077709" w:rsidRPr="002F7B1D" w:rsidRDefault="00077709" w:rsidP="00077709">
            <w:pPr>
              <w:autoSpaceDE w:val="0"/>
              <w:autoSpaceDN w:val="0"/>
              <w:adjustRightInd w:val="0"/>
              <w:jc w:val="center"/>
              <w:rPr>
                <w:b/>
                <w:sz w:val="24"/>
                <w:szCs w:val="24"/>
              </w:rPr>
            </w:pPr>
          </w:p>
        </w:tc>
        <w:tc>
          <w:tcPr>
            <w:tcW w:w="1712" w:type="dxa"/>
            <w:vMerge/>
            <w:tcBorders>
              <w:left w:val="single" w:sz="4" w:space="0" w:color="auto"/>
              <w:right w:val="single" w:sz="4" w:space="0" w:color="auto"/>
            </w:tcBorders>
            <w:vAlign w:val="center"/>
          </w:tcPr>
          <w:p w14:paraId="5AF25338" w14:textId="77777777" w:rsidR="00077709" w:rsidRPr="002F7B1D" w:rsidRDefault="00077709" w:rsidP="00077709">
            <w:pPr>
              <w:autoSpaceDE w:val="0"/>
              <w:autoSpaceDN w:val="0"/>
              <w:adjustRightInd w:val="0"/>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6F7CF0"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3° e successivi</w:t>
            </w:r>
          </w:p>
        </w:tc>
        <w:tc>
          <w:tcPr>
            <w:tcW w:w="1119" w:type="dxa"/>
            <w:tcBorders>
              <w:top w:val="single" w:sz="4" w:space="0" w:color="auto"/>
              <w:left w:val="single" w:sz="4" w:space="0" w:color="auto"/>
              <w:bottom w:val="single" w:sz="4" w:space="0" w:color="auto"/>
              <w:right w:val="single" w:sz="4" w:space="0" w:color="auto"/>
            </w:tcBorders>
          </w:tcPr>
          <w:p w14:paraId="5918C4C0"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 xml:space="preserve">€ 155,00 </w:t>
            </w:r>
          </w:p>
        </w:tc>
      </w:tr>
      <w:tr w:rsidR="00077709" w:rsidRPr="00246D80" w14:paraId="4C0AB733" w14:textId="77777777" w:rsidTr="00972220">
        <w:trPr>
          <w:trHeight w:val="227"/>
        </w:trPr>
        <w:tc>
          <w:tcPr>
            <w:tcW w:w="946" w:type="dxa"/>
            <w:vMerge/>
            <w:tcBorders>
              <w:left w:val="single" w:sz="4" w:space="0" w:color="auto"/>
              <w:right w:val="single" w:sz="4" w:space="0" w:color="auto"/>
            </w:tcBorders>
          </w:tcPr>
          <w:p w14:paraId="1FA33DCC" w14:textId="77777777" w:rsidR="00077709" w:rsidRPr="00246D80" w:rsidRDefault="00077709" w:rsidP="00077709">
            <w:pPr>
              <w:autoSpaceDE w:val="0"/>
              <w:autoSpaceDN w:val="0"/>
              <w:adjustRightInd w:val="0"/>
              <w:jc w:val="center"/>
              <w:rPr>
                <w:rFonts w:ascii="Titillium Up" w:hAnsi="Titillium Up"/>
                <w:b/>
                <w:sz w:val="24"/>
                <w:szCs w:val="24"/>
              </w:rPr>
            </w:pPr>
          </w:p>
        </w:tc>
        <w:tc>
          <w:tcPr>
            <w:tcW w:w="2005" w:type="dxa"/>
            <w:vMerge/>
            <w:tcBorders>
              <w:left w:val="single" w:sz="4" w:space="0" w:color="auto"/>
              <w:right w:val="single" w:sz="4" w:space="0" w:color="auto"/>
            </w:tcBorders>
          </w:tcPr>
          <w:p w14:paraId="5486830A" w14:textId="77777777" w:rsidR="00077709" w:rsidRPr="00246D80" w:rsidRDefault="00077709" w:rsidP="00077709">
            <w:pPr>
              <w:autoSpaceDE w:val="0"/>
              <w:autoSpaceDN w:val="0"/>
              <w:adjustRightInd w:val="0"/>
              <w:rPr>
                <w:rFonts w:ascii="Titillium Up" w:hAnsi="Titillium Up"/>
                <w:b/>
                <w:sz w:val="24"/>
                <w:szCs w:val="24"/>
              </w:rPr>
            </w:pPr>
          </w:p>
        </w:tc>
        <w:tc>
          <w:tcPr>
            <w:tcW w:w="1423" w:type="dxa"/>
            <w:vMerge/>
            <w:tcBorders>
              <w:left w:val="single" w:sz="4" w:space="0" w:color="auto"/>
              <w:right w:val="single" w:sz="4" w:space="0" w:color="auto"/>
            </w:tcBorders>
          </w:tcPr>
          <w:p w14:paraId="475DFEDC" w14:textId="77777777" w:rsidR="00077709" w:rsidRPr="002F7B1D" w:rsidRDefault="00077709" w:rsidP="00077709">
            <w:pPr>
              <w:autoSpaceDE w:val="0"/>
              <w:autoSpaceDN w:val="0"/>
              <w:adjustRightInd w:val="0"/>
              <w:rPr>
                <w:b/>
                <w:sz w:val="24"/>
                <w:szCs w:val="24"/>
              </w:rPr>
            </w:pPr>
          </w:p>
        </w:tc>
        <w:tc>
          <w:tcPr>
            <w:tcW w:w="1750" w:type="dxa"/>
            <w:vMerge/>
            <w:tcBorders>
              <w:left w:val="single" w:sz="4" w:space="0" w:color="auto"/>
              <w:right w:val="single" w:sz="4" w:space="0" w:color="auto"/>
            </w:tcBorders>
            <w:vAlign w:val="center"/>
          </w:tcPr>
          <w:p w14:paraId="7C070ACC" w14:textId="77777777" w:rsidR="00077709" w:rsidRPr="002F7B1D" w:rsidRDefault="00077709" w:rsidP="00077709">
            <w:pPr>
              <w:autoSpaceDE w:val="0"/>
              <w:autoSpaceDN w:val="0"/>
              <w:adjustRightInd w:val="0"/>
              <w:jc w:val="center"/>
              <w:rPr>
                <w:b/>
                <w:sz w:val="24"/>
                <w:szCs w:val="24"/>
              </w:rPr>
            </w:pPr>
          </w:p>
        </w:tc>
        <w:tc>
          <w:tcPr>
            <w:tcW w:w="1712" w:type="dxa"/>
            <w:vMerge/>
            <w:tcBorders>
              <w:left w:val="single" w:sz="4" w:space="0" w:color="auto"/>
              <w:right w:val="single" w:sz="4" w:space="0" w:color="auto"/>
            </w:tcBorders>
            <w:vAlign w:val="center"/>
          </w:tcPr>
          <w:p w14:paraId="35361BE3" w14:textId="77777777" w:rsidR="00077709" w:rsidRPr="002F7B1D" w:rsidRDefault="00077709" w:rsidP="00077709">
            <w:pPr>
              <w:autoSpaceDE w:val="0"/>
              <w:autoSpaceDN w:val="0"/>
              <w:adjustRightInd w:val="0"/>
              <w:jc w:val="center"/>
              <w:rPr>
                <w:b/>
                <w:sz w:val="24"/>
                <w:szCs w:val="24"/>
              </w:rPr>
            </w:pPr>
          </w:p>
        </w:tc>
        <w:tc>
          <w:tcPr>
            <w:tcW w:w="2536" w:type="dxa"/>
            <w:gridSpan w:val="2"/>
            <w:tcBorders>
              <w:top w:val="single" w:sz="4" w:space="0" w:color="auto"/>
              <w:left w:val="single" w:sz="4" w:space="0" w:color="auto"/>
              <w:bottom w:val="single" w:sz="4" w:space="0" w:color="auto"/>
              <w:right w:val="single" w:sz="4" w:space="0" w:color="auto"/>
            </w:tcBorders>
          </w:tcPr>
          <w:p w14:paraId="77D89CF7"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PROFESSIONALE</w:t>
            </w:r>
          </w:p>
        </w:tc>
      </w:tr>
      <w:tr w:rsidR="00077709" w:rsidRPr="00246D80" w14:paraId="128BE28E" w14:textId="77777777" w:rsidTr="00972220">
        <w:trPr>
          <w:trHeight w:val="346"/>
        </w:trPr>
        <w:tc>
          <w:tcPr>
            <w:tcW w:w="946" w:type="dxa"/>
            <w:vMerge/>
            <w:tcBorders>
              <w:left w:val="single" w:sz="4" w:space="0" w:color="auto"/>
              <w:bottom w:val="single" w:sz="4" w:space="0" w:color="auto"/>
              <w:right w:val="single" w:sz="4" w:space="0" w:color="auto"/>
            </w:tcBorders>
          </w:tcPr>
          <w:p w14:paraId="522308F3" w14:textId="77777777" w:rsidR="00077709" w:rsidRPr="00246D80" w:rsidRDefault="00077709" w:rsidP="00077709">
            <w:pPr>
              <w:autoSpaceDE w:val="0"/>
              <w:autoSpaceDN w:val="0"/>
              <w:adjustRightInd w:val="0"/>
              <w:jc w:val="center"/>
              <w:rPr>
                <w:rFonts w:ascii="Titillium Up" w:hAnsi="Titillium Up"/>
                <w:b/>
                <w:sz w:val="24"/>
                <w:szCs w:val="24"/>
              </w:rPr>
            </w:pPr>
          </w:p>
        </w:tc>
        <w:tc>
          <w:tcPr>
            <w:tcW w:w="2005" w:type="dxa"/>
            <w:vMerge/>
            <w:tcBorders>
              <w:left w:val="single" w:sz="4" w:space="0" w:color="auto"/>
              <w:bottom w:val="single" w:sz="4" w:space="0" w:color="auto"/>
              <w:right w:val="single" w:sz="4" w:space="0" w:color="auto"/>
            </w:tcBorders>
          </w:tcPr>
          <w:p w14:paraId="251B41EC" w14:textId="77777777" w:rsidR="00077709" w:rsidRPr="00246D80" w:rsidRDefault="00077709" w:rsidP="00077709">
            <w:pPr>
              <w:autoSpaceDE w:val="0"/>
              <w:autoSpaceDN w:val="0"/>
              <w:adjustRightInd w:val="0"/>
              <w:rPr>
                <w:rFonts w:ascii="Titillium Up" w:hAnsi="Titillium Up"/>
                <w:b/>
                <w:sz w:val="24"/>
                <w:szCs w:val="24"/>
              </w:rPr>
            </w:pPr>
          </w:p>
        </w:tc>
        <w:tc>
          <w:tcPr>
            <w:tcW w:w="1423" w:type="dxa"/>
            <w:vMerge/>
            <w:tcBorders>
              <w:left w:val="single" w:sz="4" w:space="0" w:color="auto"/>
              <w:bottom w:val="single" w:sz="4" w:space="0" w:color="auto"/>
              <w:right w:val="single" w:sz="4" w:space="0" w:color="auto"/>
            </w:tcBorders>
          </w:tcPr>
          <w:p w14:paraId="21BCC6F0" w14:textId="77777777" w:rsidR="00077709" w:rsidRPr="002F7B1D" w:rsidRDefault="00077709" w:rsidP="00077709">
            <w:pPr>
              <w:autoSpaceDE w:val="0"/>
              <w:autoSpaceDN w:val="0"/>
              <w:adjustRightInd w:val="0"/>
              <w:rPr>
                <w:b/>
                <w:sz w:val="24"/>
                <w:szCs w:val="24"/>
              </w:rPr>
            </w:pPr>
          </w:p>
        </w:tc>
        <w:tc>
          <w:tcPr>
            <w:tcW w:w="1750" w:type="dxa"/>
            <w:vMerge/>
            <w:tcBorders>
              <w:left w:val="single" w:sz="4" w:space="0" w:color="auto"/>
              <w:bottom w:val="single" w:sz="4" w:space="0" w:color="auto"/>
              <w:right w:val="single" w:sz="4" w:space="0" w:color="auto"/>
            </w:tcBorders>
            <w:vAlign w:val="center"/>
          </w:tcPr>
          <w:p w14:paraId="6228B49C" w14:textId="77777777" w:rsidR="00077709" w:rsidRPr="002F7B1D" w:rsidRDefault="00077709" w:rsidP="00077709">
            <w:pPr>
              <w:autoSpaceDE w:val="0"/>
              <w:autoSpaceDN w:val="0"/>
              <w:adjustRightInd w:val="0"/>
              <w:jc w:val="center"/>
              <w:rPr>
                <w:b/>
                <w:sz w:val="24"/>
                <w:szCs w:val="24"/>
              </w:rPr>
            </w:pPr>
          </w:p>
        </w:tc>
        <w:tc>
          <w:tcPr>
            <w:tcW w:w="1712" w:type="dxa"/>
            <w:vMerge/>
            <w:tcBorders>
              <w:left w:val="single" w:sz="4" w:space="0" w:color="auto"/>
              <w:bottom w:val="single" w:sz="4" w:space="0" w:color="auto"/>
              <w:right w:val="single" w:sz="4" w:space="0" w:color="auto"/>
            </w:tcBorders>
            <w:vAlign w:val="center"/>
          </w:tcPr>
          <w:p w14:paraId="4EA5B331" w14:textId="77777777" w:rsidR="00077709" w:rsidRPr="002F7B1D" w:rsidRDefault="00077709" w:rsidP="00077709">
            <w:pPr>
              <w:autoSpaceDE w:val="0"/>
              <w:autoSpaceDN w:val="0"/>
              <w:adjustRightInd w:val="0"/>
              <w:jc w:val="center"/>
              <w:rPr>
                <w:b/>
                <w:sz w:val="24"/>
                <w:szCs w:val="24"/>
              </w:rPr>
            </w:pPr>
          </w:p>
        </w:tc>
        <w:tc>
          <w:tcPr>
            <w:tcW w:w="2536" w:type="dxa"/>
            <w:gridSpan w:val="2"/>
            <w:tcBorders>
              <w:top w:val="single" w:sz="4" w:space="0" w:color="auto"/>
              <w:left w:val="single" w:sz="4" w:space="0" w:color="auto"/>
              <w:bottom w:val="single" w:sz="4" w:space="0" w:color="auto"/>
              <w:right w:val="single" w:sz="4" w:space="0" w:color="auto"/>
            </w:tcBorders>
          </w:tcPr>
          <w:p w14:paraId="45D83591"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 xml:space="preserve">Franchigia € 125,00 Scoperto 10% massimo € 3.000,00 </w:t>
            </w:r>
          </w:p>
        </w:tc>
      </w:tr>
      <w:tr w:rsidR="00077709" w:rsidRPr="00246D80" w14:paraId="2B63FC87" w14:textId="77777777" w:rsidTr="00972220">
        <w:trPr>
          <w:trHeight w:val="253"/>
        </w:trPr>
        <w:tc>
          <w:tcPr>
            <w:tcW w:w="946" w:type="dxa"/>
            <w:vMerge w:val="restart"/>
            <w:tcBorders>
              <w:top w:val="single" w:sz="4" w:space="0" w:color="auto"/>
              <w:left w:val="single" w:sz="4" w:space="0" w:color="auto"/>
              <w:right w:val="single" w:sz="4" w:space="0" w:color="auto"/>
            </w:tcBorders>
          </w:tcPr>
          <w:p w14:paraId="1B7F2420"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2B</w:t>
            </w:r>
          </w:p>
        </w:tc>
        <w:tc>
          <w:tcPr>
            <w:tcW w:w="2005" w:type="dxa"/>
            <w:vMerge w:val="restart"/>
            <w:tcBorders>
              <w:top w:val="single" w:sz="4" w:space="0" w:color="auto"/>
              <w:left w:val="single" w:sz="4" w:space="0" w:color="auto"/>
              <w:right w:val="single" w:sz="4" w:space="0" w:color="auto"/>
            </w:tcBorders>
          </w:tcPr>
          <w:p w14:paraId="77999E7D" w14:textId="77777777" w:rsidR="00077709" w:rsidRPr="00246D80" w:rsidRDefault="00077709" w:rsidP="00077709">
            <w:pPr>
              <w:autoSpaceDE w:val="0"/>
              <w:autoSpaceDN w:val="0"/>
              <w:adjustRightInd w:val="0"/>
              <w:rPr>
                <w:rFonts w:ascii="Titillium Up" w:hAnsi="Titillium Up"/>
                <w:b/>
                <w:sz w:val="24"/>
                <w:szCs w:val="24"/>
              </w:rPr>
            </w:pPr>
            <w:r w:rsidRPr="00246D80">
              <w:rPr>
                <w:rFonts w:ascii="Titillium Up" w:hAnsi="Titillium Up"/>
                <w:b/>
                <w:sz w:val="24"/>
                <w:szCs w:val="24"/>
              </w:rPr>
              <w:t xml:space="preserve">Ammanco di cassa </w:t>
            </w:r>
          </w:p>
          <w:p w14:paraId="5B620A75" w14:textId="77777777" w:rsidR="00077709" w:rsidRPr="00246D80" w:rsidRDefault="00077709" w:rsidP="00077709">
            <w:pPr>
              <w:autoSpaceDE w:val="0"/>
              <w:autoSpaceDN w:val="0"/>
              <w:adjustRightInd w:val="0"/>
              <w:rPr>
                <w:rFonts w:ascii="Titillium Up" w:hAnsi="Titillium Up"/>
                <w:b/>
                <w:sz w:val="24"/>
                <w:szCs w:val="24"/>
              </w:rPr>
            </w:pPr>
            <w:r w:rsidRPr="00246D80">
              <w:rPr>
                <w:rFonts w:ascii="Titillium Up" w:hAnsi="Titillium Up"/>
                <w:b/>
                <w:sz w:val="24"/>
                <w:szCs w:val="24"/>
              </w:rPr>
              <w:t>€ 10.000,00</w:t>
            </w:r>
          </w:p>
          <w:p w14:paraId="5B381DD1" w14:textId="77777777" w:rsidR="00077709" w:rsidRPr="00246D80" w:rsidRDefault="00077709" w:rsidP="00077709">
            <w:pPr>
              <w:autoSpaceDE w:val="0"/>
              <w:autoSpaceDN w:val="0"/>
              <w:adjustRightInd w:val="0"/>
              <w:rPr>
                <w:rFonts w:ascii="Titillium Up" w:hAnsi="Titillium Up"/>
                <w:b/>
                <w:sz w:val="24"/>
                <w:szCs w:val="24"/>
              </w:rPr>
            </w:pPr>
          </w:p>
          <w:p w14:paraId="12DCC9AC" w14:textId="77777777" w:rsidR="00077709" w:rsidRPr="00246D80" w:rsidRDefault="00077709" w:rsidP="00077709">
            <w:pPr>
              <w:autoSpaceDE w:val="0"/>
              <w:autoSpaceDN w:val="0"/>
              <w:adjustRightInd w:val="0"/>
              <w:rPr>
                <w:rFonts w:ascii="Titillium Up" w:hAnsi="Titillium Up"/>
                <w:b/>
                <w:sz w:val="24"/>
                <w:szCs w:val="24"/>
              </w:rPr>
            </w:pPr>
          </w:p>
          <w:p w14:paraId="3B3190CB" w14:textId="77777777" w:rsidR="00077709" w:rsidRPr="00246D80" w:rsidRDefault="00077709" w:rsidP="00077709">
            <w:pPr>
              <w:autoSpaceDE w:val="0"/>
              <w:autoSpaceDN w:val="0"/>
              <w:adjustRightInd w:val="0"/>
              <w:rPr>
                <w:rFonts w:ascii="Titillium Up" w:hAnsi="Titillium Up"/>
                <w:b/>
                <w:sz w:val="24"/>
                <w:szCs w:val="24"/>
              </w:rPr>
            </w:pPr>
            <w:r w:rsidRPr="00246D80">
              <w:rPr>
                <w:rFonts w:ascii="Titillium Up" w:hAnsi="Titillium Up"/>
                <w:b/>
                <w:sz w:val="24"/>
                <w:szCs w:val="24"/>
              </w:rPr>
              <w:t>R.C. Professionale</w:t>
            </w:r>
          </w:p>
          <w:p w14:paraId="778C9642" w14:textId="77777777" w:rsidR="00077709" w:rsidRPr="00246D80" w:rsidRDefault="00077709" w:rsidP="00077709">
            <w:pPr>
              <w:autoSpaceDE w:val="0"/>
              <w:autoSpaceDN w:val="0"/>
              <w:adjustRightInd w:val="0"/>
              <w:rPr>
                <w:rFonts w:ascii="Titillium Up" w:hAnsi="Titillium Up"/>
                <w:b/>
                <w:sz w:val="24"/>
                <w:szCs w:val="24"/>
              </w:rPr>
            </w:pPr>
            <w:r w:rsidRPr="00246D80">
              <w:rPr>
                <w:rFonts w:ascii="Titillium Up" w:hAnsi="Titillium Up"/>
                <w:b/>
                <w:sz w:val="24"/>
                <w:szCs w:val="24"/>
              </w:rPr>
              <w:t>€ 60.000,00 per sinistro e per anno assicurativo</w:t>
            </w:r>
          </w:p>
          <w:p w14:paraId="676D4BFF" w14:textId="77777777" w:rsidR="00077709" w:rsidRPr="00246D80" w:rsidRDefault="00077709" w:rsidP="00077709">
            <w:pPr>
              <w:autoSpaceDE w:val="0"/>
              <w:autoSpaceDN w:val="0"/>
              <w:adjustRightInd w:val="0"/>
              <w:rPr>
                <w:rFonts w:ascii="Titillium Up" w:hAnsi="Titillium Up"/>
                <w:b/>
                <w:sz w:val="24"/>
                <w:szCs w:val="24"/>
              </w:rPr>
            </w:pPr>
          </w:p>
        </w:tc>
        <w:tc>
          <w:tcPr>
            <w:tcW w:w="1423" w:type="dxa"/>
            <w:vMerge w:val="restart"/>
            <w:tcBorders>
              <w:top w:val="single" w:sz="4" w:space="0" w:color="auto"/>
              <w:left w:val="single" w:sz="4" w:space="0" w:color="auto"/>
              <w:right w:val="single" w:sz="4" w:space="0" w:color="auto"/>
            </w:tcBorders>
            <w:vAlign w:val="center"/>
          </w:tcPr>
          <w:p w14:paraId="670976BC" w14:textId="270EAED9" w:rsidR="00077709" w:rsidRPr="002F7B1D" w:rsidRDefault="00077709" w:rsidP="00077709">
            <w:pPr>
              <w:autoSpaceDE w:val="0"/>
              <w:autoSpaceDN w:val="0"/>
              <w:adjustRightInd w:val="0"/>
              <w:jc w:val="center"/>
              <w:rPr>
                <w:b/>
                <w:sz w:val="24"/>
                <w:szCs w:val="24"/>
              </w:rPr>
            </w:pPr>
            <w:r w:rsidRPr="002F7B1D">
              <w:rPr>
                <w:b/>
                <w:sz w:val="24"/>
                <w:szCs w:val="24"/>
              </w:rPr>
              <w:t>€ 137,00</w:t>
            </w:r>
          </w:p>
        </w:tc>
        <w:tc>
          <w:tcPr>
            <w:tcW w:w="1750" w:type="dxa"/>
            <w:vMerge w:val="restart"/>
            <w:tcBorders>
              <w:top w:val="single" w:sz="4" w:space="0" w:color="auto"/>
              <w:left w:val="single" w:sz="4" w:space="0" w:color="auto"/>
              <w:right w:val="single" w:sz="4" w:space="0" w:color="auto"/>
            </w:tcBorders>
            <w:vAlign w:val="center"/>
          </w:tcPr>
          <w:p w14:paraId="711D0939" w14:textId="04037C2D" w:rsidR="00077709" w:rsidRPr="002F7B1D" w:rsidRDefault="00077709" w:rsidP="00077709">
            <w:pPr>
              <w:autoSpaceDE w:val="0"/>
              <w:autoSpaceDN w:val="0"/>
              <w:adjustRightInd w:val="0"/>
              <w:jc w:val="center"/>
              <w:rPr>
                <w:b/>
                <w:sz w:val="24"/>
                <w:szCs w:val="24"/>
              </w:rPr>
            </w:pPr>
            <w:r w:rsidRPr="002F7B1D">
              <w:rPr>
                <w:b/>
                <w:sz w:val="24"/>
                <w:szCs w:val="24"/>
              </w:rPr>
              <w:t>€ 83,00</w:t>
            </w:r>
          </w:p>
        </w:tc>
        <w:tc>
          <w:tcPr>
            <w:tcW w:w="1712" w:type="dxa"/>
            <w:vMerge w:val="restart"/>
            <w:tcBorders>
              <w:top w:val="single" w:sz="4" w:space="0" w:color="auto"/>
              <w:left w:val="single" w:sz="4" w:space="0" w:color="auto"/>
              <w:right w:val="single" w:sz="4" w:space="0" w:color="auto"/>
            </w:tcBorders>
            <w:vAlign w:val="center"/>
          </w:tcPr>
          <w:p w14:paraId="01F7C460" w14:textId="7CF65B4A" w:rsidR="00077709" w:rsidRPr="002F7B1D" w:rsidRDefault="00077709" w:rsidP="00077709">
            <w:pPr>
              <w:autoSpaceDE w:val="0"/>
              <w:autoSpaceDN w:val="0"/>
              <w:adjustRightInd w:val="0"/>
              <w:jc w:val="center"/>
              <w:rPr>
                <w:b/>
                <w:sz w:val="24"/>
                <w:szCs w:val="24"/>
              </w:rPr>
            </w:pPr>
            <w:r w:rsidRPr="002F7B1D">
              <w:rPr>
                <w:b/>
                <w:sz w:val="24"/>
                <w:szCs w:val="24"/>
              </w:rPr>
              <w:t>€ 54,00</w:t>
            </w:r>
          </w:p>
        </w:tc>
        <w:tc>
          <w:tcPr>
            <w:tcW w:w="2536" w:type="dxa"/>
            <w:gridSpan w:val="2"/>
            <w:tcBorders>
              <w:top w:val="single" w:sz="4" w:space="0" w:color="auto"/>
              <w:left w:val="single" w:sz="4" w:space="0" w:color="auto"/>
              <w:bottom w:val="single" w:sz="4" w:space="0" w:color="auto"/>
              <w:right w:val="single" w:sz="4" w:space="0" w:color="auto"/>
            </w:tcBorders>
          </w:tcPr>
          <w:p w14:paraId="1935434F"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AMMANCHI</w:t>
            </w:r>
          </w:p>
        </w:tc>
      </w:tr>
      <w:tr w:rsidR="00077709" w:rsidRPr="00246D80" w14:paraId="79BE5D52" w14:textId="77777777" w:rsidTr="00972220">
        <w:trPr>
          <w:trHeight w:val="328"/>
        </w:trPr>
        <w:tc>
          <w:tcPr>
            <w:tcW w:w="946" w:type="dxa"/>
            <w:vMerge/>
            <w:tcBorders>
              <w:left w:val="single" w:sz="4" w:space="0" w:color="auto"/>
              <w:right w:val="single" w:sz="4" w:space="0" w:color="auto"/>
            </w:tcBorders>
          </w:tcPr>
          <w:p w14:paraId="35DB94D2" w14:textId="77777777" w:rsidR="00077709" w:rsidRPr="00246D80" w:rsidRDefault="00077709" w:rsidP="00077709">
            <w:pPr>
              <w:autoSpaceDE w:val="0"/>
              <w:autoSpaceDN w:val="0"/>
              <w:adjustRightInd w:val="0"/>
              <w:jc w:val="center"/>
              <w:rPr>
                <w:rFonts w:ascii="Titillium Up" w:hAnsi="Titillium Up"/>
                <w:b/>
                <w:sz w:val="24"/>
                <w:szCs w:val="24"/>
              </w:rPr>
            </w:pPr>
          </w:p>
        </w:tc>
        <w:tc>
          <w:tcPr>
            <w:tcW w:w="2005" w:type="dxa"/>
            <w:vMerge/>
            <w:tcBorders>
              <w:left w:val="single" w:sz="4" w:space="0" w:color="auto"/>
              <w:right w:val="single" w:sz="4" w:space="0" w:color="auto"/>
            </w:tcBorders>
          </w:tcPr>
          <w:p w14:paraId="43E90498" w14:textId="77777777" w:rsidR="00077709" w:rsidRPr="00246D80" w:rsidRDefault="00077709" w:rsidP="00077709">
            <w:pPr>
              <w:autoSpaceDE w:val="0"/>
              <w:autoSpaceDN w:val="0"/>
              <w:adjustRightInd w:val="0"/>
              <w:rPr>
                <w:rFonts w:ascii="Titillium Up" w:hAnsi="Titillium Up"/>
                <w:b/>
                <w:sz w:val="24"/>
                <w:szCs w:val="24"/>
              </w:rPr>
            </w:pPr>
          </w:p>
        </w:tc>
        <w:tc>
          <w:tcPr>
            <w:tcW w:w="1423" w:type="dxa"/>
            <w:vMerge/>
            <w:tcBorders>
              <w:left w:val="single" w:sz="4" w:space="0" w:color="auto"/>
              <w:right w:val="single" w:sz="4" w:space="0" w:color="auto"/>
            </w:tcBorders>
          </w:tcPr>
          <w:p w14:paraId="5D621FEC" w14:textId="77777777" w:rsidR="00077709" w:rsidRPr="002F7B1D" w:rsidRDefault="00077709" w:rsidP="00077709">
            <w:pPr>
              <w:autoSpaceDE w:val="0"/>
              <w:autoSpaceDN w:val="0"/>
              <w:adjustRightInd w:val="0"/>
              <w:rPr>
                <w:b/>
                <w:sz w:val="24"/>
                <w:szCs w:val="24"/>
              </w:rPr>
            </w:pPr>
          </w:p>
        </w:tc>
        <w:tc>
          <w:tcPr>
            <w:tcW w:w="1750" w:type="dxa"/>
            <w:vMerge/>
            <w:tcBorders>
              <w:left w:val="single" w:sz="4" w:space="0" w:color="auto"/>
              <w:right w:val="single" w:sz="4" w:space="0" w:color="auto"/>
            </w:tcBorders>
            <w:vAlign w:val="center"/>
          </w:tcPr>
          <w:p w14:paraId="186F7F5F" w14:textId="77777777" w:rsidR="00077709" w:rsidRPr="002F7B1D" w:rsidRDefault="00077709" w:rsidP="00077709">
            <w:pPr>
              <w:autoSpaceDE w:val="0"/>
              <w:autoSpaceDN w:val="0"/>
              <w:adjustRightInd w:val="0"/>
              <w:jc w:val="center"/>
              <w:rPr>
                <w:b/>
                <w:sz w:val="24"/>
                <w:szCs w:val="24"/>
              </w:rPr>
            </w:pPr>
          </w:p>
        </w:tc>
        <w:tc>
          <w:tcPr>
            <w:tcW w:w="1712" w:type="dxa"/>
            <w:vMerge/>
            <w:tcBorders>
              <w:left w:val="single" w:sz="4" w:space="0" w:color="auto"/>
              <w:right w:val="single" w:sz="4" w:space="0" w:color="auto"/>
            </w:tcBorders>
            <w:vAlign w:val="center"/>
          </w:tcPr>
          <w:p w14:paraId="087622CD" w14:textId="77777777" w:rsidR="00077709" w:rsidRPr="002F7B1D" w:rsidRDefault="00077709" w:rsidP="00077709">
            <w:pPr>
              <w:autoSpaceDE w:val="0"/>
              <w:autoSpaceDN w:val="0"/>
              <w:adjustRightInd w:val="0"/>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721CA4C"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1° sinistro</w:t>
            </w:r>
          </w:p>
        </w:tc>
        <w:tc>
          <w:tcPr>
            <w:tcW w:w="1119" w:type="dxa"/>
            <w:tcBorders>
              <w:top w:val="single" w:sz="4" w:space="0" w:color="auto"/>
              <w:left w:val="single" w:sz="4" w:space="0" w:color="auto"/>
              <w:bottom w:val="single" w:sz="4" w:space="0" w:color="auto"/>
              <w:right w:val="single" w:sz="4" w:space="0" w:color="auto"/>
            </w:tcBorders>
          </w:tcPr>
          <w:p w14:paraId="265A8573"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 xml:space="preserve">€ 0,00 </w:t>
            </w:r>
          </w:p>
        </w:tc>
      </w:tr>
      <w:tr w:rsidR="00077709" w:rsidRPr="00246D80" w14:paraId="1D76CF2C" w14:textId="77777777" w:rsidTr="00972220">
        <w:trPr>
          <w:trHeight w:val="315"/>
        </w:trPr>
        <w:tc>
          <w:tcPr>
            <w:tcW w:w="946" w:type="dxa"/>
            <w:vMerge/>
            <w:tcBorders>
              <w:left w:val="single" w:sz="4" w:space="0" w:color="auto"/>
              <w:right w:val="single" w:sz="4" w:space="0" w:color="auto"/>
            </w:tcBorders>
          </w:tcPr>
          <w:p w14:paraId="170F1D1C" w14:textId="77777777" w:rsidR="00077709" w:rsidRPr="00246D80" w:rsidRDefault="00077709" w:rsidP="00077709">
            <w:pPr>
              <w:autoSpaceDE w:val="0"/>
              <w:autoSpaceDN w:val="0"/>
              <w:adjustRightInd w:val="0"/>
              <w:jc w:val="center"/>
              <w:rPr>
                <w:rFonts w:ascii="Titillium Up" w:hAnsi="Titillium Up"/>
                <w:b/>
                <w:sz w:val="24"/>
                <w:szCs w:val="24"/>
              </w:rPr>
            </w:pPr>
          </w:p>
        </w:tc>
        <w:tc>
          <w:tcPr>
            <w:tcW w:w="2005" w:type="dxa"/>
            <w:vMerge/>
            <w:tcBorders>
              <w:left w:val="single" w:sz="4" w:space="0" w:color="auto"/>
              <w:right w:val="single" w:sz="4" w:space="0" w:color="auto"/>
            </w:tcBorders>
          </w:tcPr>
          <w:p w14:paraId="39DC7AA3" w14:textId="77777777" w:rsidR="00077709" w:rsidRPr="00246D80" w:rsidRDefault="00077709" w:rsidP="00077709">
            <w:pPr>
              <w:autoSpaceDE w:val="0"/>
              <w:autoSpaceDN w:val="0"/>
              <w:adjustRightInd w:val="0"/>
              <w:rPr>
                <w:rFonts w:ascii="Titillium Up" w:hAnsi="Titillium Up"/>
                <w:b/>
                <w:sz w:val="24"/>
                <w:szCs w:val="24"/>
              </w:rPr>
            </w:pPr>
          </w:p>
        </w:tc>
        <w:tc>
          <w:tcPr>
            <w:tcW w:w="1423" w:type="dxa"/>
            <w:vMerge/>
            <w:tcBorders>
              <w:left w:val="single" w:sz="4" w:space="0" w:color="auto"/>
              <w:right w:val="single" w:sz="4" w:space="0" w:color="auto"/>
            </w:tcBorders>
          </w:tcPr>
          <w:p w14:paraId="5A599348" w14:textId="77777777" w:rsidR="00077709" w:rsidRPr="002F7B1D" w:rsidRDefault="00077709" w:rsidP="00077709">
            <w:pPr>
              <w:autoSpaceDE w:val="0"/>
              <w:autoSpaceDN w:val="0"/>
              <w:adjustRightInd w:val="0"/>
              <w:rPr>
                <w:b/>
                <w:sz w:val="24"/>
                <w:szCs w:val="24"/>
              </w:rPr>
            </w:pPr>
          </w:p>
        </w:tc>
        <w:tc>
          <w:tcPr>
            <w:tcW w:w="1750" w:type="dxa"/>
            <w:vMerge/>
            <w:tcBorders>
              <w:left w:val="single" w:sz="4" w:space="0" w:color="auto"/>
              <w:right w:val="single" w:sz="4" w:space="0" w:color="auto"/>
            </w:tcBorders>
            <w:vAlign w:val="center"/>
          </w:tcPr>
          <w:p w14:paraId="397429B7" w14:textId="77777777" w:rsidR="00077709" w:rsidRPr="002F7B1D" w:rsidRDefault="00077709" w:rsidP="00077709">
            <w:pPr>
              <w:autoSpaceDE w:val="0"/>
              <w:autoSpaceDN w:val="0"/>
              <w:adjustRightInd w:val="0"/>
              <w:jc w:val="center"/>
              <w:rPr>
                <w:b/>
                <w:sz w:val="24"/>
                <w:szCs w:val="24"/>
              </w:rPr>
            </w:pPr>
          </w:p>
        </w:tc>
        <w:tc>
          <w:tcPr>
            <w:tcW w:w="1712" w:type="dxa"/>
            <w:vMerge/>
            <w:tcBorders>
              <w:left w:val="single" w:sz="4" w:space="0" w:color="auto"/>
              <w:right w:val="single" w:sz="4" w:space="0" w:color="auto"/>
            </w:tcBorders>
            <w:vAlign w:val="center"/>
          </w:tcPr>
          <w:p w14:paraId="38713549" w14:textId="77777777" w:rsidR="00077709" w:rsidRPr="002F7B1D" w:rsidRDefault="00077709" w:rsidP="00077709">
            <w:pPr>
              <w:autoSpaceDE w:val="0"/>
              <w:autoSpaceDN w:val="0"/>
              <w:adjustRightInd w:val="0"/>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160942"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2° sinistro</w:t>
            </w:r>
          </w:p>
        </w:tc>
        <w:tc>
          <w:tcPr>
            <w:tcW w:w="1119" w:type="dxa"/>
            <w:tcBorders>
              <w:top w:val="single" w:sz="4" w:space="0" w:color="auto"/>
              <w:left w:val="single" w:sz="4" w:space="0" w:color="auto"/>
              <w:bottom w:val="single" w:sz="4" w:space="0" w:color="auto"/>
              <w:right w:val="single" w:sz="4" w:space="0" w:color="auto"/>
            </w:tcBorders>
          </w:tcPr>
          <w:p w14:paraId="6A6E1DB6"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 xml:space="preserve">€ 80,00 </w:t>
            </w:r>
          </w:p>
        </w:tc>
      </w:tr>
      <w:tr w:rsidR="00077709" w:rsidRPr="00246D80" w14:paraId="547D2E74" w14:textId="77777777" w:rsidTr="00972220">
        <w:trPr>
          <w:trHeight w:val="265"/>
        </w:trPr>
        <w:tc>
          <w:tcPr>
            <w:tcW w:w="946" w:type="dxa"/>
            <w:vMerge/>
            <w:tcBorders>
              <w:left w:val="single" w:sz="4" w:space="0" w:color="auto"/>
              <w:right w:val="single" w:sz="4" w:space="0" w:color="auto"/>
            </w:tcBorders>
          </w:tcPr>
          <w:p w14:paraId="71F68EB8" w14:textId="77777777" w:rsidR="00077709" w:rsidRPr="00246D80" w:rsidRDefault="00077709" w:rsidP="00077709">
            <w:pPr>
              <w:autoSpaceDE w:val="0"/>
              <w:autoSpaceDN w:val="0"/>
              <w:adjustRightInd w:val="0"/>
              <w:jc w:val="center"/>
              <w:rPr>
                <w:rFonts w:ascii="Titillium Up" w:hAnsi="Titillium Up"/>
                <w:b/>
                <w:sz w:val="24"/>
                <w:szCs w:val="24"/>
              </w:rPr>
            </w:pPr>
          </w:p>
        </w:tc>
        <w:tc>
          <w:tcPr>
            <w:tcW w:w="2005" w:type="dxa"/>
            <w:vMerge/>
            <w:tcBorders>
              <w:left w:val="single" w:sz="4" w:space="0" w:color="auto"/>
              <w:right w:val="single" w:sz="4" w:space="0" w:color="auto"/>
            </w:tcBorders>
          </w:tcPr>
          <w:p w14:paraId="1ACE0A7A" w14:textId="77777777" w:rsidR="00077709" w:rsidRPr="00246D80" w:rsidRDefault="00077709" w:rsidP="00077709">
            <w:pPr>
              <w:autoSpaceDE w:val="0"/>
              <w:autoSpaceDN w:val="0"/>
              <w:adjustRightInd w:val="0"/>
              <w:rPr>
                <w:rFonts w:ascii="Titillium Up" w:hAnsi="Titillium Up"/>
                <w:b/>
                <w:sz w:val="24"/>
                <w:szCs w:val="24"/>
              </w:rPr>
            </w:pPr>
          </w:p>
        </w:tc>
        <w:tc>
          <w:tcPr>
            <w:tcW w:w="1423" w:type="dxa"/>
            <w:vMerge/>
            <w:tcBorders>
              <w:left w:val="single" w:sz="4" w:space="0" w:color="auto"/>
              <w:right w:val="single" w:sz="4" w:space="0" w:color="auto"/>
            </w:tcBorders>
          </w:tcPr>
          <w:p w14:paraId="6D74B7DE" w14:textId="77777777" w:rsidR="00077709" w:rsidRPr="002F7B1D" w:rsidRDefault="00077709" w:rsidP="00077709">
            <w:pPr>
              <w:autoSpaceDE w:val="0"/>
              <w:autoSpaceDN w:val="0"/>
              <w:adjustRightInd w:val="0"/>
              <w:rPr>
                <w:b/>
                <w:sz w:val="24"/>
                <w:szCs w:val="24"/>
              </w:rPr>
            </w:pPr>
          </w:p>
        </w:tc>
        <w:tc>
          <w:tcPr>
            <w:tcW w:w="1750" w:type="dxa"/>
            <w:vMerge/>
            <w:tcBorders>
              <w:left w:val="single" w:sz="4" w:space="0" w:color="auto"/>
              <w:right w:val="single" w:sz="4" w:space="0" w:color="auto"/>
            </w:tcBorders>
            <w:vAlign w:val="center"/>
          </w:tcPr>
          <w:p w14:paraId="31BEBFC7" w14:textId="77777777" w:rsidR="00077709" w:rsidRPr="002F7B1D" w:rsidRDefault="00077709" w:rsidP="00077709">
            <w:pPr>
              <w:autoSpaceDE w:val="0"/>
              <w:autoSpaceDN w:val="0"/>
              <w:adjustRightInd w:val="0"/>
              <w:jc w:val="center"/>
              <w:rPr>
                <w:b/>
                <w:sz w:val="24"/>
                <w:szCs w:val="24"/>
              </w:rPr>
            </w:pPr>
          </w:p>
        </w:tc>
        <w:tc>
          <w:tcPr>
            <w:tcW w:w="1712" w:type="dxa"/>
            <w:vMerge/>
            <w:tcBorders>
              <w:left w:val="single" w:sz="4" w:space="0" w:color="auto"/>
              <w:right w:val="single" w:sz="4" w:space="0" w:color="auto"/>
            </w:tcBorders>
            <w:vAlign w:val="center"/>
          </w:tcPr>
          <w:p w14:paraId="7DD00025" w14:textId="77777777" w:rsidR="00077709" w:rsidRPr="002F7B1D" w:rsidRDefault="00077709" w:rsidP="00077709">
            <w:pPr>
              <w:autoSpaceDE w:val="0"/>
              <w:autoSpaceDN w:val="0"/>
              <w:adjustRightInd w:val="0"/>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FA276E4"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3° e successivi</w:t>
            </w:r>
          </w:p>
        </w:tc>
        <w:tc>
          <w:tcPr>
            <w:tcW w:w="1119" w:type="dxa"/>
            <w:tcBorders>
              <w:top w:val="single" w:sz="4" w:space="0" w:color="auto"/>
              <w:left w:val="single" w:sz="4" w:space="0" w:color="auto"/>
              <w:bottom w:val="single" w:sz="4" w:space="0" w:color="auto"/>
              <w:right w:val="single" w:sz="4" w:space="0" w:color="auto"/>
            </w:tcBorders>
          </w:tcPr>
          <w:p w14:paraId="06B7CE97"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 xml:space="preserve">€ 155,00 </w:t>
            </w:r>
          </w:p>
        </w:tc>
      </w:tr>
      <w:tr w:rsidR="00077709" w:rsidRPr="00246D80" w14:paraId="50230826" w14:textId="77777777" w:rsidTr="00972220">
        <w:trPr>
          <w:trHeight w:val="265"/>
        </w:trPr>
        <w:tc>
          <w:tcPr>
            <w:tcW w:w="946" w:type="dxa"/>
            <w:vMerge/>
            <w:tcBorders>
              <w:left w:val="single" w:sz="4" w:space="0" w:color="auto"/>
              <w:right w:val="single" w:sz="4" w:space="0" w:color="auto"/>
            </w:tcBorders>
          </w:tcPr>
          <w:p w14:paraId="616BE970" w14:textId="77777777" w:rsidR="00077709" w:rsidRPr="00246D80" w:rsidRDefault="00077709" w:rsidP="00077709">
            <w:pPr>
              <w:autoSpaceDE w:val="0"/>
              <w:autoSpaceDN w:val="0"/>
              <w:adjustRightInd w:val="0"/>
              <w:jc w:val="center"/>
              <w:rPr>
                <w:rFonts w:ascii="Titillium Up" w:hAnsi="Titillium Up"/>
                <w:b/>
                <w:sz w:val="24"/>
                <w:szCs w:val="24"/>
              </w:rPr>
            </w:pPr>
          </w:p>
        </w:tc>
        <w:tc>
          <w:tcPr>
            <w:tcW w:w="2005" w:type="dxa"/>
            <w:vMerge/>
            <w:tcBorders>
              <w:left w:val="single" w:sz="4" w:space="0" w:color="auto"/>
              <w:right w:val="single" w:sz="4" w:space="0" w:color="auto"/>
            </w:tcBorders>
          </w:tcPr>
          <w:p w14:paraId="03E74A9A" w14:textId="77777777" w:rsidR="00077709" w:rsidRPr="00246D80" w:rsidRDefault="00077709" w:rsidP="00077709">
            <w:pPr>
              <w:autoSpaceDE w:val="0"/>
              <w:autoSpaceDN w:val="0"/>
              <w:adjustRightInd w:val="0"/>
              <w:rPr>
                <w:rFonts w:ascii="Titillium Up" w:hAnsi="Titillium Up"/>
                <w:b/>
                <w:sz w:val="24"/>
                <w:szCs w:val="24"/>
              </w:rPr>
            </w:pPr>
          </w:p>
        </w:tc>
        <w:tc>
          <w:tcPr>
            <w:tcW w:w="1423" w:type="dxa"/>
            <w:vMerge/>
            <w:tcBorders>
              <w:left w:val="single" w:sz="4" w:space="0" w:color="auto"/>
              <w:right w:val="single" w:sz="4" w:space="0" w:color="auto"/>
            </w:tcBorders>
          </w:tcPr>
          <w:p w14:paraId="5B25B269" w14:textId="77777777" w:rsidR="00077709" w:rsidRPr="002F7B1D" w:rsidRDefault="00077709" w:rsidP="00077709">
            <w:pPr>
              <w:autoSpaceDE w:val="0"/>
              <w:autoSpaceDN w:val="0"/>
              <w:adjustRightInd w:val="0"/>
              <w:rPr>
                <w:b/>
                <w:sz w:val="24"/>
                <w:szCs w:val="24"/>
              </w:rPr>
            </w:pPr>
          </w:p>
        </w:tc>
        <w:tc>
          <w:tcPr>
            <w:tcW w:w="1750" w:type="dxa"/>
            <w:vMerge/>
            <w:tcBorders>
              <w:left w:val="single" w:sz="4" w:space="0" w:color="auto"/>
              <w:right w:val="single" w:sz="4" w:space="0" w:color="auto"/>
            </w:tcBorders>
            <w:vAlign w:val="center"/>
          </w:tcPr>
          <w:p w14:paraId="503A5663" w14:textId="77777777" w:rsidR="00077709" w:rsidRPr="002F7B1D" w:rsidRDefault="00077709" w:rsidP="00077709">
            <w:pPr>
              <w:autoSpaceDE w:val="0"/>
              <w:autoSpaceDN w:val="0"/>
              <w:adjustRightInd w:val="0"/>
              <w:jc w:val="center"/>
              <w:rPr>
                <w:b/>
                <w:sz w:val="24"/>
                <w:szCs w:val="24"/>
              </w:rPr>
            </w:pPr>
          </w:p>
        </w:tc>
        <w:tc>
          <w:tcPr>
            <w:tcW w:w="1712" w:type="dxa"/>
            <w:vMerge/>
            <w:tcBorders>
              <w:left w:val="single" w:sz="4" w:space="0" w:color="auto"/>
              <w:right w:val="single" w:sz="4" w:space="0" w:color="auto"/>
            </w:tcBorders>
            <w:vAlign w:val="center"/>
          </w:tcPr>
          <w:p w14:paraId="6910F18C" w14:textId="77777777" w:rsidR="00077709" w:rsidRPr="002F7B1D" w:rsidRDefault="00077709" w:rsidP="00077709">
            <w:pPr>
              <w:autoSpaceDE w:val="0"/>
              <w:autoSpaceDN w:val="0"/>
              <w:adjustRightInd w:val="0"/>
              <w:jc w:val="center"/>
              <w:rPr>
                <w:b/>
                <w:sz w:val="24"/>
                <w:szCs w:val="24"/>
              </w:rPr>
            </w:pPr>
          </w:p>
        </w:tc>
        <w:tc>
          <w:tcPr>
            <w:tcW w:w="2536" w:type="dxa"/>
            <w:gridSpan w:val="2"/>
            <w:tcBorders>
              <w:top w:val="single" w:sz="4" w:space="0" w:color="auto"/>
              <w:left w:val="single" w:sz="4" w:space="0" w:color="auto"/>
              <w:bottom w:val="single" w:sz="4" w:space="0" w:color="auto"/>
              <w:right w:val="single" w:sz="4" w:space="0" w:color="auto"/>
            </w:tcBorders>
          </w:tcPr>
          <w:p w14:paraId="4A0F830B"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PROFESSIONALE</w:t>
            </w:r>
          </w:p>
        </w:tc>
      </w:tr>
      <w:tr w:rsidR="00077709" w:rsidRPr="00246D80" w14:paraId="03C9D99C" w14:textId="77777777" w:rsidTr="00972220">
        <w:trPr>
          <w:trHeight w:val="565"/>
        </w:trPr>
        <w:tc>
          <w:tcPr>
            <w:tcW w:w="946" w:type="dxa"/>
            <w:vMerge/>
            <w:tcBorders>
              <w:left w:val="single" w:sz="4" w:space="0" w:color="auto"/>
              <w:right w:val="single" w:sz="4" w:space="0" w:color="auto"/>
            </w:tcBorders>
          </w:tcPr>
          <w:p w14:paraId="6AFC7AC2" w14:textId="77777777" w:rsidR="00077709" w:rsidRPr="00246D80" w:rsidRDefault="00077709" w:rsidP="00077709">
            <w:pPr>
              <w:autoSpaceDE w:val="0"/>
              <w:autoSpaceDN w:val="0"/>
              <w:adjustRightInd w:val="0"/>
              <w:jc w:val="center"/>
              <w:rPr>
                <w:rFonts w:ascii="Titillium Up" w:hAnsi="Titillium Up"/>
                <w:b/>
                <w:sz w:val="24"/>
                <w:szCs w:val="24"/>
              </w:rPr>
            </w:pPr>
          </w:p>
        </w:tc>
        <w:tc>
          <w:tcPr>
            <w:tcW w:w="2005" w:type="dxa"/>
            <w:vMerge/>
            <w:tcBorders>
              <w:left w:val="single" w:sz="4" w:space="0" w:color="auto"/>
              <w:right w:val="single" w:sz="4" w:space="0" w:color="auto"/>
            </w:tcBorders>
          </w:tcPr>
          <w:p w14:paraId="72FE6653" w14:textId="77777777" w:rsidR="00077709" w:rsidRPr="00246D80" w:rsidRDefault="00077709" w:rsidP="00077709">
            <w:pPr>
              <w:autoSpaceDE w:val="0"/>
              <w:autoSpaceDN w:val="0"/>
              <w:adjustRightInd w:val="0"/>
              <w:rPr>
                <w:rFonts w:ascii="Titillium Up" w:hAnsi="Titillium Up"/>
                <w:b/>
                <w:sz w:val="24"/>
                <w:szCs w:val="24"/>
              </w:rPr>
            </w:pPr>
          </w:p>
        </w:tc>
        <w:tc>
          <w:tcPr>
            <w:tcW w:w="1423" w:type="dxa"/>
            <w:vMerge/>
            <w:tcBorders>
              <w:left w:val="single" w:sz="4" w:space="0" w:color="auto"/>
              <w:right w:val="single" w:sz="4" w:space="0" w:color="auto"/>
            </w:tcBorders>
          </w:tcPr>
          <w:p w14:paraId="24A8761D" w14:textId="77777777" w:rsidR="00077709" w:rsidRPr="002F7B1D" w:rsidRDefault="00077709" w:rsidP="00077709">
            <w:pPr>
              <w:autoSpaceDE w:val="0"/>
              <w:autoSpaceDN w:val="0"/>
              <w:adjustRightInd w:val="0"/>
              <w:rPr>
                <w:b/>
                <w:sz w:val="24"/>
                <w:szCs w:val="24"/>
              </w:rPr>
            </w:pPr>
          </w:p>
        </w:tc>
        <w:tc>
          <w:tcPr>
            <w:tcW w:w="1750" w:type="dxa"/>
            <w:vMerge/>
            <w:tcBorders>
              <w:left w:val="single" w:sz="4" w:space="0" w:color="auto"/>
              <w:right w:val="single" w:sz="4" w:space="0" w:color="auto"/>
            </w:tcBorders>
            <w:vAlign w:val="center"/>
          </w:tcPr>
          <w:p w14:paraId="6DC80907" w14:textId="77777777" w:rsidR="00077709" w:rsidRPr="002F7B1D" w:rsidRDefault="00077709" w:rsidP="00077709">
            <w:pPr>
              <w:autoSpaceDE w:val="0"/>
              <w:autoSpaceDN w:val="0"/>
              <w:adjustRightInd w:val="0"/>
              <w:jc w:val="center"/>
              <w:rPr>
                <w:b/>
                <w:sz w:val="24"/>
                <w:szCs w:val="24"/>
              </w:rPr>
            </w:pPr>
          </w:p>
        </w:tc>
        <w:tc>
          <w:tcPr>
            <w:tcW w:w="1712" w:type="dxa"/>
            <w:vMerge/>
            <w:tcBorders>
              <w:left w:val="single" w:sz="4" w:space="0" w:color="auto"/>
              <w:right w:val="single" w:sz="4" w:space="0" w:color="auto"/>
            </w:tcBorders>
            <w:vAlign w:val="center"/>
          </w:tcPr>
          <w:p w14:paraId="2E0F5139" w14:textId="77777777" w:rsidR="00077709" w:rsidRPr="002F7B1D" w:rsidRDefault="00077709" w:rsidP="00077709">
            <w:pPr>
              <w:autoSpaceDE w:val="0"/>
              <w:autoSpaceDN w:val="0"/>
              <w:adjustRightInd w:val="0"/>
              <w:jc w:val="center"/>
              <w:rPr>
                <w:b/>
                <w:sz w:val="24"/>
                <w:szCs w:val="24"/>
              </w:rPr>
            </w:pPr>
          </w:p>
        </w:tc>
        <w:tc>
          <w:tcPr>
            <w:tcW w:w="2536" w:type="dxa"/>
            <w:gridSpan w:val="2"/>
            <w:tcBorders>
              <w:top w:val="single" w:sz="4" w:space="0" w:color="auto"/>
              <w:left w:val="single" w:sz="4" w:space="0" w:color="auto"/>
              <w:right w:val="single" w:sz="4" w:space="0" w:color="auto"/>
            </w:tcBorders>
          </w:tcPr>
          <w:p w14:paraId="1CABBEF7"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Franchigia € 125,00 Scoperto 10% massimo € 3.000,00</w:t>
            </w:r>
          </w:p>
        </w:tc>
      </w:tr>
      <w:tr w:rsidR="00077709" w:rsidRPr="00246D80" w14:paraId="19B19DEF" w14:textId="77777777" w:rsidTr="00972220">
        <w:trPr>
          <w:trHeight w:val="316"/>
        </w:trPr>
        <w:tc>
          <w:tcPr>
            <w:tcW w:w="946" w:type="dxa"/>
            <w:vMerge w:val="restart"/>
            <w:tcBorders>
              <w:top w:val="single" w:sz="4" w:space="0" w:color="auto"/>
              <w:left w:val="single" w:sz="4" w:space="0" w:color="auto"/>
              <w:right w:val="single" w:sz="4" w:space="0" w:color="auto"/>
            </w:tcBorders>
          </w:tcPr>
          <w:p w14:paraId="71ADDAE9" w14:textId="77777777" w:rsidR="00077709" w:rsidRPr="00246D80" w:rsidRDefault="00077709" w:rsidP="00077709">
            <w:pPr>
              <w:tabs>
                <w:tab w:val="center" w:pos="328"/>
              </w:tabs>
              <w:autoSpaceDE w:val="0"/>
              <w:autoSpaceDN w:val="0"/>
              <w:adjustRightInd w:val="0"/>
              <w:rPr>
                <w:rFonts w:ascii="Titillium Up" w:hAnsi="Titillium Up"/>
                <w:b/>
                <w:sz w:val="24"/>
                <w:szCs w:val="24"/>
              </w:rPr>
            </w:pPr>
            <w:r w:rsidRPr="00246D80">
              <w:rPr>
                <w:rFonts w:ascii="Titillium Up" w:hAnsi="Titillium Up"/>
                <w:b/>
                <w:sz w:val="24"/>
                <w:szCs w:val="24"/>
              </w:rPr>
              <w:tab/>
              <w:t>3B</w:t>
            </w:r>
          </w:p>
        </w:tc>
        <w:tc>
          <w:tcPr>
            <w:tcW w:w="2005" w:type="dxa"/>
            <w:vMerge w:val="restart"/>
            <w:tcBorders>
              <w:top w:val="single" w:sz="4" w:space="0" w:color="auto"/>
              <w:left w:val="single" w:sz="4" w:space="0" w:color="auto"/>
              <w:right w:val="single" w:sz="4" w:space="0" w:color="auto"/>
            </w:tcBorders>
          </w:tcPr>
          <w:p w14:paraId="35B4010D" w14:textId="77777777" w:rsidR="00077709" w:rsidRPr="00246D80" w:rsidRDefault="00077709" w:rsidP="00077709">
            <w:pPr>
              <w:autoSpaceDE w:val="0"/>
              <w:autoSpaceDN w:val="0"/>
              <w:adjustRightInd w:val="0"/>
              <w:rPr>
                <w:rFonts w:ascii="Titillium Up" w:hAnsi="Titillium Up"/>
                <w:b/>
                <w:sz w:val="24"/>
                <w:szCs w:val="24"/>
              </w:rPr>
            </w:pPr>
            <w:r w:rsidRPr="00246D80">
              <w:rPr>
                <w:rFonts w:ascii="Titillium Up" w:hAnsi="Titillium Up"/>
                <w:b/>
                <w:sz w:val="24"/>
                <w:szCs w:val="24"/>
              </w:rPr>
              <w:t>Ammanco di cassa</w:t>
            </w:r>
          </w:p>
          <w:p w14:paraId="5599127C" w14:textId="77777777" w:rsidR="00077709" w:rsidRPr="00246D80" w:rsidRDefault="00077709" w:rsidP="00077709">
            <w:pPr>
              <w:autoSpaceDE w:val="0"/>
              <w:autoSpaceDN w:val="0"/>
              <w:adjustRightInd w:val="0"/>
              <w:rPr>
                <w:rFonts w:ascii="Titillium Up" w:hAnsi="Titillium Up"/>
                <w:b/>
                <w:sz w:val="24"/>
                <w:szCs w:val="24"/>
              </w:rPr>
            </w:pPr>
            <w:r w:rsidRPr="00246D80">
              <w:rPr>
                <w:rFonts w:ascii="Titillium Up" w:hAnsi="Titillium Up"/>
                <w:b/>
                <w:sz w:val="24"/>
                <w:szCs w:val="24"/>
              </w:rPr>
              <w:t>€ 15.000,00</w:t>
            </w:r>
          </w:p>
          <w:p w14:paraId="6C66F2D0" w14:textId="77777777" w:rsidR="00077709" w:rsidRPr="00246D80" w:rsidRDefault="00077709" w:rsidP="00077709">
            <w:pPr>
              <w:autoSpaceDE w:val="0"/>
              <w:autoSpaceDN w:val="0"/>
              <w:adjustRightInd w:val="0"/>
              <w:rPr>
                <w:rFonts w:ascii="Titillium Up" w:hAnsi="Titillium Up"/>
                <w:b/>
                <w:sz w:val="24"/>
                <w:szCs w:val="24"/>
              </w:rPr>
            </w:pPr>
            <w:r w:rsidRPr="00246D80">
              <w:rPr>
                <w:rFonts w:ascii="Titillium Up" w:hAnsi="Titillium Up"/>
                <w:b/>
                <w:sz w:val="24"/>
                <w:szCs w:val="24"/>
              </w:rPr>
              <w:t xml:space="preserve">  </w:t>
            </w:r>
          </w:p>
          <w:p w14:paraId="447E189D" w14:textId="77777777" w:rsidR="00077709" w:rsidRPr="00246D80" w:rsidRDefault="00077709" w:rsidP="00077709">
            <w:pPr>
              <w:autoSpaceDE w:val="0"/>
              <w:autoSpaceDN w:val="0"/>
              <w:adjustRightInd w:val="0"/>
              <w:rPr>
                <w:rFonts w:ascii="Titillium Up" w:hAnsi="Titillium Up"/>
                <w:b/>
                <w:sz w:val="24"/>
                <w:szCs w:val="24"/>
              </w:rPr>
            </w:pPr>
          </w:p>
          <w:p w14:paraId="34830D09" w14:textId="77777777" w:rsidR="00077709" w:rsidRPr="00246D80" w:rsidRDefault="00077709" w:rsidP="00077709">
            <w:pPr>
              <w:autoSpaceDE w:val="0"/>
              <w:autoSpaceDN w:val="0"/>
              <w:adjustRightInd w:val="0"/>
              <w:rPr>
                <w:rFonts w:ascii="Titillium Up" w:hAnsi="Titillium Up"/>
                <w:b/>
                <w:sz w:val="24"/>
                <w:szCs w:val="24"/>
              </w:rPr>
            </w:pPr>
            <w:r w:rsidRPr="00246D80">
              <w:rPr>
                <w:rFonts w:ascii="Titillium Up" w:hAnsi="Titillium Up"/>
                <w:b/>
                <w:sz w:val="24"/>
                <w:szCs w:val="24"/>
              </w:rPr>
              <w:t>R.C. Professionale</w:t>
            </w:r>
          </w:p>
          <w:p w14:paraId="2297EF7C" w14:textId="77777777" w:rsidR="00077709" w:rsidRPr="00246D80" w:rsidRDefault="00077709" w:rsidP="00077709">
            <w:pPr>
              <w:autoSpaceDE w:val="0"/>
              <w:autoSpaceDN w:val="0"/>
              <w:adjustRightInd w:val="0"/>
              <w:rPr>
                <w:rFonts w:ascii="Titillium Up" w:hAnsi="Titillium Up"/>
                <w:b/>
                <w:sz w:val="24"/>
                <w:szCs w:val="24"/>
              </w:rPr>
            </w:pPr>
            <w:r w:rsidRPr="00246D80">
              <w:rPr>
                <w:rFonts w:ascii="Titillium Up" w:hAnsi="Titillium Up"/>
                <w:b/>
                <w:sz w:val="24"/>
                <w:szCs w:val="24"/>
              </w:rPr>
              <w:t>€ 100.000,00 per sinistro e per anno assicurativo</w:t>
            </w:r>
          </w:p>
          <w:p w14:paraId="39CB1A06" w14:textId="77777777" w:rsidR="00077709" w:rsidRPr="00246D80" w:rsidRDefault="00077709" w:rsidP="00077709">
            <w:pPr>
              <w:autoSpaceDE w:val="0"/>
              <w:autoSpaceDN w:val="0"/>
              <w:adjustRightInd w:val="0"/>
              <w:rPr>
                <w:rFonts w:ascii="Titillium Up" w:hAnsi="Titillium Up"/>
                <w:b/>
                <w:sz w:val="24"/>
                <w:szCs w:val="24"/>
              </w:rPr>
            </w:pPr>
          </w:p>
        </w:tc>
        <w:tc>
          <w:tcPr>
            <w:tcW w:w="1423" w:type="dxa"/>
            <w:vMerge w:val="restart"/>
            <w:tcBorders>
              <w:top w:val="single" w:sz="4" w:space="0" w:color="auto"/>
              <w:left w:val="single" w:sz="4" w:space="0" w:color="auto"/>
              <w:right w:val="single" w:sz="4" w:space="0" w:color="auto"/>
            </w:tcBorders>
            <w:vAlign w:val="center"/>
          </w:tcPr>
          <w:p w14:paraId="3FB237F0" w14:textId="123C4E77" w:rsidR="00077709" w:rsidRPr="002F7B1D" w:rsidRDefault="00077709" w:rsidP="00077709">
            <w:pPr>
              <w:autoSpaceDE w:val="0"/>
              <w:autoSpaceDN w:val="0"/>
              <w:adjustRightInd w:val="0"/>
              <w:jc w:val="center"/>
              <w:rPr>
                <w:b/>
                <w:sz w:val="24"/>
                <w:szCs w:val="24"/>
              </w:rPr>
            </w:pPr>
            <w:r w:rsidRPr="002F7B1D">
              <w:rPr>
                <w:b/>
                <w:sz w:val="24"/>
                <w:szCs w:val="24"/>
              </w:rPr>
              <w:t>€ 156,00</w:t>
            </w:r>
          </w:p>
        </w:tc>
        <w:tc>
          <w:tcPr>
            <w:tcW w:w="1750" w:type="dxa"/>
            <w:vMerge w:val="restart"/>
            <w:tcBorders>
              <w:top w:val="single" w:sz="4" w:space="0" w:color="auto"/>
              <w:left w:val="single" w:sz="4" w:space="0" w:color="auto"/>
              <w:right w:val="single" w:sz="4" w:space="0" w:color="auto"/>
            </w:tcBorders>
            <w:vAlign w:val="center"/>
          </w:tcPr>
          <w:p w14:paraId="3318D146" w14:textId="062AD9C2" w:rsidR="00077709" w:rsidRPr="002F7B1D" w:rsidRDefault="00077709" w:rsidP="00077709">
            <w:pPr>
              <w:autoSpaceDE w:val="0"/>
              <w:autoSpaceDN w:val="0"/>
              <w:adjustRightInd w:val="0"/>
              <w:jc w:val="center"/>
              <w:rPr>
                <w:b/>
                <w:sz w:val="24"/>
                <w:szCs w:val="24"/>
              </w:rPr>
            </w:pPr>
            <w:r w:rsidRPr="002F7B1D">
              <w:rPr>
                <w:b/>
                <w:sz w:val="24"/>
                <w:szCs w:val="24"/>
              </w:rPr>
              <w:t>€ 97,00</w:t>
            </w:r>
          </w:p>
        </w:tc>
        <w:tc>
          <w:tcPr>
            <w:tcW w:w="1712" w:type="dxa"/>
            <w:vMerge w:val="restart"/>
            <w:tcBorders>
              <w:top w:val="single" w:sz="4" w:space="0" w:color="auto"/>
              <w:left w:val="single" w:sz="4" w:space="0" w:color="auto"/>
              <w:right w:val="single" w:sz="4" w:space="0" w:color="auto"/>
            </w:tcBorders>
            <w:vAlign w:val="center"/>
          </w:tcPr>
          <w:p w14:paraId="5A213129" w14:textId="64592759" w:rsidR="00077709" w:rsidRPr="002F7B1D" w:rsidRDefault="00077709" w:rsidP="00077709">
            <w:pPr>
              <w:autoSpaceDE w:val="0"/>
              <w:autoSpaceDN w:val="0"/>
              <w:adjustRightInd w:val="0"/>
              <w:jc w:val="center"/>
              <w:rPr>
                <w:b/>
                <w:sz w:val="24"/>
                <w:szCs w:val="24"/>
              </w:rPr>
            </w:pPr>
            <w:r w:rsidRPr="002F7B1D">
              <w:rPr>
                <w:b/>
                <w:sz w:val="24"/>
                <w:szCs w:val="24"/>
              </w:rPr>
              <w:t>€ 65,00</w:t>
            </w:r>
          </w:p>
        </w:tc>
        <w:tc>
          <w:tcPr>
            <w:tcW w:w="2536" w:type="dxa"/>
            <w:gridSpan w:val="2"/>
            <w:tcBorders>
              <w:top w:val="single" w:sz="4" w:space="0" w:color="auto"/>
              <w:left w:val="single" w:sz="4" w:space="0" w:color="auto"/>
              <w:bottom w:val="single" w:sz="4" w:space="0" w:color="auto"/>
              <w:right w:val="single" w:sz="4" w:space="0" w:color="auto"/>
            </w:tcBorders>
          </w:tcPr>
          <w:p w14:paraId="4667DDB7" w14:textId="77777777" w:rsidR="00077709" w:rsidRPr="00246D80" w:rsidRDefault="00077709" w:rsidP="00077709">
            <w:pPr>
              <w:autoSpaceDE w:val="0"/>
              <w:autoSpaceDN w:val="0"/>
              <w:adjustRightInd w:val="0"/>
              <w:jc w:val="center"/>
              <w:rPr>
                <w:rFonts w:ascii="Titillium Up" w:hAnsi="Titillium Up"/>
                <w:b/>
                <w:sz w:val="24"/>
                <w:szCs w:val="24"/>
              </w:rPr>
            </w:pPr>
            <w:r w:rsidRPr="00246D80">
              <w:rPr>
                <w:rFonts w:ascii="Titillium Up" w:hAnsi="Titillium Up"/>
                <w:b/>
                <w:sz w:val="24"/>
                <w:szCs w:val="24"/>
              </w:rPr>
              <w:t>AMMANCHI</w:t>
            </w:r>
          </w:p>
        </w:tc>
      </w:tr>
      <w:tr w:rsidR="00954EE3" w:rsidRPr="00246D80" w14:paraId="37E82193" w14:textId="77777777" w:rsidTr="00972220">
        <w:trPr>
          <w:trHeight w:val="328"/>
        </w:trPr>
        <w:tc>
          <w:tcPr>
            <w:tcW w:w="946" w:type="dxa"/>
            <w:vMerge/>
            <w:tcBorders>
              <w:left w:val="single" w:sz="4" w:space="0" w:color="auto"/>
              <w:right w:val="single" w:sz="4" w:space="0" w:color="auto"/>
            </w:tcBorders>
          </w:tcPr>
          <w:p w14:paraId="4E04953E" w14:textId="77777777" w:rsidR="00954EE3" w:rsidRPr="00246D80" w:rsidRDefault="00954EE3" w:rsidP="00972220">
            <w:pPr>
              <w:tabs>
                <w:tab w:val="center" w:pos="328"/>
              </w:tabs>
              <w:autoSpaceDE w:val="0"/>
              <w:autoSpaceDN w:val="0"/>
              <w:adjustRightInd w:val="0"/>
              <w:rPr>
                <w:rFonts w:ascii="Titillium Up" w:hAnsi="Titillium Up"/>
                <w:b/>
                <w:sz w:val="24"/>
                <w:szCs w:val="24"/>
              </w:rPr>
            </w:pPr>
          </w:p>
        </w:tc>
        <w:tc>
          <w:tcPr>
            <w:tcW w:w="2005" w:type="dxa"/>
            <w:vMerge/>
            <w:tcBorders>
              <w:left w:val="single" w:sz="4" w:space="0" w:color="auto"/>
              <w:right w:val="single" w:sz="4" w:space="0" w:color="auto"/>
            </w:tcBorders>
          </w:tcPr>
          <w:p w14:paraId="20DE46F0" w14:textId="77777777" w:rsidR="00954EE3" w:rsidRPr="00246D80" w:rsidRDefault="00954EE3" w:rsidP="00972220">
            <w:pPr>
              <w:autoSpaceDE w:val="0"/>
              <w:autoSpaceDN w:val="0"/>
              <w:adjustRightInd w:val="0"/>
              <w:rPr>
                <w:rFonts w:ascii="Titillium Up" w:hAnsi="Titillium Up"/>
                <w:b/>
                <w:sz w:val="24"/>
                <w:szCs w:val="24"/>
              </w:rPr>
            </w:pPr>
          </w:p>
        </w:tc>
        <w:tc>
          <w:tcPr>
            <w:tcW w:w="1423" w:type="dxa"/>
            <w:vMerge/>
            <w:tcBorders>
              <w:left w:val="single" w:sz="4" w:space="0" w:color="auto"/>
              <w:right w:val="single" w:sz="4" w:space="0" w:color="auto"/>
            </w:tcBorders>
          </w:tcPr>
          <w:p w14:paraId="0A542FBF" w14:textId="77777777" w:rsidR="00954EE3" w:rsidRPr="00246D80" w:rsidRDefault="00954EE3" w:rsidP="00972220">
            <w:pPr>
              <w:autoSpaceDE w:val="0"/>
              <w:autoSpaceDN w:val="0"/>
              <w:adjustRightInd w:val="0"/>
              <w:rPr>
                <w:rFonts w:ascii="Titillium Up" w:hAnsi="Titillium Up"/>
                <w:b/>
                <w:sz w:val="24"/>
                <w:szCs w:val="24"/>
              </w:rPr>
            </w:pPr>
          </w:p>
        </w:tc>
        <w:tc>
          <w:tcPr>
            <w:tcW w:w="1750" w:type="dxa"/>
            <w:vMerge/>
            <w:tcBorders>
              <w:left w:val="single" w:sz="4" w:space="0" w:color="auto"/>
              <w:right w:val="single" w:sz="4" w:space="0" w:color="auto"/>
            </w:tcBorders>
            <w:vAlign w:val="center"/>
          </w:tcPr>
          <w:p w14:paraId="5AB85B99" w14:textId="77777777" w:rsidR="00954EE3" w:rsidRPr="00246D80" w:rsidRDefault="00954EE3" w:rsidP="00972220">
            <w:pPr>
              <w:autoSpaceDE w:val="0"/>
              <w:autoSpaceDN w:val="0"/>
              <w:adjustRightInd w:val="0"/>
              <w:jc w:val="center"/>
              <w:rPr>
                <w:rFonts w:ascii="Titillium Up" w:hAnsi="Titillium Up"/>
                <w:b/>
                <w:sz w:val="24"/>
                <w:szCs w:val="24"/>
              </w:rPr>
            </w:pPr>
          </w:p>
        </w:tc>
        <w:tc>
          <w:tcPr>
            <w:tcW w:w="1712" w:type="dxa"/>
            <w:vMerge/>
            <w:tcBorders>
              <w:left w:val="single" w:sz="4" w:space="0" w:color="auto"/>
              <w:right w:val="single" w:sz="4" w:space="0" w:color="auto"/>
            </w:tcBorders>
          </w:tcPr>
          <w:p w14:paraId="6D9ED2AC" w14:textId="77777777" w:rsidR="00954EE3" w:rsidRPr="00246D80" w:rsidRDefault="00954EE3" w:rsidP="00972220">
            <w:pPr>
              <w:autoSpaceDE w:val="0"/>
              <w:autoSpaceDN w:val="0"/>
              <w:adjustRightInd w:val="0"/>
              <w:jc w:val="center"/>
              <w:rPr>
                <w:rFonts w:ascii="Titillium Up" w:hAnsi="Titillium Up"/>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050560" w14:textId="77777777" w:rsidR="00954EE3" w:rsidRPr="00246D80" w:rsidRDefault="00954EE3" w:rsidP="00972220">
            <w:pPr>
              <w:autoSpaceDE w:val="0"/>
              <w:autoSpaceDN w:val="0"/>
              <w:adjustRightInd w:val="0"/>
              <w:jc w:val="center"/>
              <w:rPr>
                <w:rFonts w:ascii="Titillium Up" w:hAnsi="Titillium Up"/>
                <w:b/>
                <w:sz w:val="24"/>
                <w:szCs w:val="24"/>
              </w:rPr>
            </w:pPr>
            <w:r w:rsidRPr="00246D80">
              <w:rPr>
                <w:rFonts w:ascii="Titillium Up" w:hAnsi="Titillium Up"/>
                <w:b/>
                <w:sz w:val="24"/>
                <w:szCs w:val="24"/>
              </w:rPr>
              <w:t>1° sinistro</w:t>
            </w:r>
          </w:p>
        </w:tc>
        <w:tc>
          <w:tcPr>
            <w:tcW w:w="1119" w:type="dxa"/>
            <w:tcBorders>
              <w:top w:val="single" w:sz="4" w:space="0" w:color="auto"/>
              <w:left w:val="single" w:sz="4" w:space="0" w:color="auto"/>
              <w:bottom w:val="single" w:sz="4" w:space="0" w:color="auto"/>
              <w:right w:val="single" w:sz="4" w:space="0" w:color="auto"/>
            </w:tcBorders>
          </w:tcPr>
          <w:p w14:paraId="38ABF523" w14:textId="77777777" w:rsidR="00954EE3" w:rsidRPr="00246D80" w:rsidRDefault="00954EE3" w:rsidP="00972220">
            <w:pPr>
              <w:autoSpaceDE w:val="0"/>
              <w:autoSpaceDN w:val="0"/>
              <w:adjustRightInd w:val="0"/>
              <w:jc w:val="center"/>
              <w:rPr>
                <w:rFonts w:ascii="Titillium Up" w:hAnsi="Titillium Up"/>
                <w:b/>
                <w:sz w:val="24"/>
                <w:szCs w:val="24"/>
              </w:rPr>
            </w:pPr>
            <w:r w:rsidRPr="00246D80">
              <w:rPr>
                <w:rFonts w:ascii="Titillium Up" w:hAnsi="Titillium Up"/>
                <w:b/>
                <w:sz w:val="24"/>
                <w:szCs w:val="24"/>
              </w:rPr>
              <w:t xml:space="preserve">€ 0,00 </w:t>
            </w:r>
          </w:p>
        </w:tc>
      </w:tr>
      <w:tr w:rsidR="00954EE3" w:rsidRPr="00246D80" w14:paraId="0C230C56" w14:textId="77777777" w:rsidTr="00972220">
        <w:trPr>
          <w:trHeight w:val="270"/>
        </w:trPr>
        <w:tc>
          <w:tcPr>
            <w:tcW w:w="946" w:type="dxa"/>
            <w:vMerge/>
            <w:tcBorders>
              <w:left w:val="single" w:sz="4" w:space="0" w:color="auto"/>
              <w:right w:val="single" w:sz="4" w:space="0" w:color="auto"/>
            </w:tcBorders>
          </w:tcPr>
          <w:p w14:paraId="5F5CCBE2" w14:textId="77777777" w:rsidR="00954EE3" w:rsidRPr="00246D80" w:rsidRDefault="00954EE3" w:rsidP="00972220">
            <w:pPr>
              <w:tabs>
                <w:tab w:val="center" w:pos="328"/>
              </w:tabs>
              <w:autoSpaceDE w:val="0"/>
              <w:autoSpaceDN w:val="0"/>
              <w:adjustRightInd w:val="0"/>
              <w:rPr>
                <w:rFonts w:ascii="Titillium Up" w:hAnsi="Titillium Up"/>
                <w:b/>
                <w:sz w:val="24"/>
                <w:szCs w:val="24"/>
              </w:rPr>
            </w:pPr>
          </w:p>
        </w:tc>
        <w:tc>
          <w:tcPr>
            <w:tcW w:w="2005" w:type="dxa"/>
            <w:vMerge/>
            <w:tcBorders>
              <w:left w:val="single" w:sz="4" w:space="0" w:color="auto"/>
              <w:right w:val="single" w:sz="4" w:space="0" w:color="auto"/>
            </w:tcBorders>
          </w:tcPr>
          <w:p w14:paraId="060681E2" w14:textId="77777777" w:rsidR="00954EE3" w:rsidRPr="00246D80" w:rsidRDefault="00954EE3" w:rsidP="00972220">
            <w:pPr>
              <w:autoSpaceDE w:val="0"/>
              <w:autoSpaceDN w:val="0"/>
              <w:adjustRightInd w:val="0"/>
              <w:rPr>
                <w:rFonts w:ascii="Titillium Up" w:hAnsi="Titillium Up"/>
                <w:b/>
                <w:sz w:val="24"/>
                <w:szCs w:val="24"/>
              </w:rPr>
            </w:pPr>
          </w:p>
        </w:tc>
        <w:tc>
          <w:tcPr>
            <w:tcW w:w="1423" w:type="dxa"/>
            <w:vMerge/>
            <w:tcBorders>
              <w:left w:val="single" w:sz="4" w:space="0" w:color="auto"/>
              <w:right w:val="single" w:sz="4" w:space="0" w:color="auto"/>
            </w:tcBorders>
          </w:tcPr>
          <w:p w14:paraId="42B17A57" w14:textId="77777777" w:rsidR="00954EE3" w:rsidRPr="00246D80" w:rsidRDefault="00954EE3" w:rsidP="00972220">
            <w:pPr>
              <w:autoSpaceDE w:val="0"/>
              <w:autoSpaceDN w:val="0"/>
              <w:adjustRightInd w:val="0"/>
              <w:rPr>
                <w:rFonts w:ascii="Titillium Up" w:hAnsi="Titillium Up"/>
                <w:b/>
                <w:sz w:val="24"/>
                <w:szCs w:val="24"/>
              </w:rPr>
            </w:pPr>
          </w:p>
        </w:tc>
        <w:tc>
          <w:tcPr>
            <w:tcW w:w="1750" w:type="dxa"/>
            <w:vMerge/>
            <w:tcBorders>
              <w:left w:val="single" w:sz="4" w:space="0" w:color="auto"/>
              <w:right w:val="single" w:sz="4" w:space="0" w:color="auto"/>
            </w:tcBorders>
            <w:vAlign w:val="center"/>
          </w:tcPr>
          <w:p w14:paraId="2DAF4122" w14:textId="77777777" w:rsidR="00954EE3" w:rsidRPr="00246D80" w:rsidRDefault="00954EE3" w:rsidP="00972220">
            <w:pPr>
              <w:autoSpaceDE w:val="0"/>
              <w:autoSpaceDN w:val="0"/>
              <w:adjustRightInd w:val="0"/>
              <w:jc w:val="center"/>
              <w:rPr>
                <w:rFonts w:ascii="Titillium Up" w:hAnsi="Titillium Up"/>
                <w:b/>
                <w:sz w:val="24"/>
                <w:szCs w:val="24"/>
              </w:rPr>
            </w:pPr>
          </w:p>
        </w:tc>
        <w:tc>
          <w:tcPr>
            <w:tcW w:w="1712" w:type="dxa"/>
            <w:vMerge/>
            <w:tcBorders>
              <w:left w:val="single" w:sz="4" w:space="0" w:color="auto"/>
              <w:right w:val="single" w:sz="4" w:space="0" w:color="auto"/>
            </w:tcBorders>
          </w:tcPr>
          <w:p w14:paraId="376293E9" w14:textId="77777777" w:rsidR="00954EE3" w:rsidRPr="00246D80" w:rsidRDefault="00954EE3" w:rsidP="00972220">
            <w:pPr>
              <w:autoSpaceDE w:val="0"/>
              <w:autoSpaceDN w:val="0"/>
              <w:adjustRightInd w:val="0"/>
              <w:jc w:val="center"/>
              <w:rPr>
                <w:rFonts w:ascii="Titillium Up" w:hAnsi="Titillium Up"/>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D13453" w14:textId="77777777" w:rsidR="00954EE3" w:rsidRPr="00246D80" w:rsidRDefault="00954EE3" w:rsidP="00972220">
            <w:pPr>
              <w:autoSpaceDE w:val="0"/>
              <w:autoSpaceDN w:val="0"/>
              <w:adjustRightInd w:val="0"/>
              <w:jc w:val="center"/>
              <w:rPr>
                <w:rFonts w:ascii="Titillium Up" w:hAnsi="Titillium Up"/>
                <w:b/>
                <w:sz w:val="24"/>
                <w:szCs w:val="24"/>
              </w:rPr>
            </w:pPr>
            <w:r w:rsidRPr="00246D80">
              <w:rPr>
                <w:rFonts w:ascii="Titillium Up" w:hAnsi="Titillium Up"/>
                <w:b/>
                <w:sz w:val="24"/>
                <w:szCs w:val="24"/>
              </w:rPr>
              <w:t>2° sinistro</w:t>
            </w:r>
          </w:p>
        </w:tc>
        <w:tc>
          <w:tcPr>
            <w:tcW w:w="1119" w:type="dxa"/>
            <w:tcBorders>
              <w:top w:val="single" w:sz="4" w:space="0" w:color="auto"/>
              <w:left w:val="single" w:sz="4" w:space="0" w:color="auto"/>
              <w:bottom w:val="single" w:sz="4" w:space="0" w:color="auto"/>
              <w:right w:val="single" w:sz="4" w:space="0" w:color="auto"/>
            </w:tcBorders>
          </w:tcPr>
          <w:p w14:paraId="03D13676" w14:textId="77777777" w:rsidR="00954EE3" w:rsidRPr="00246D80" w:rsidRDefault="00954EE3" w:rsidP="00972220">
            <w:pPr>
              <w:autoSpaceDE w:val="0"/>
              <w:autoSpaceDN w:val="0"/>
              <w:adjustRightInd w:val="0"/>
              <w:jc w:val="center"/>
              <w:rPr>
                <w:rFonts w:ascii="Titillium Up" w:hAnsi="Titillium Up"/>
                <w:b/>
                <w:sz w:val="24"/>
                <w:szCs w:val="24"/>
              </w:rPr>
            </w:pPr>
            <w:r w:rsidRPr="00246D80">
              <w:rPr>
                <w:rFonts w:ascii="Titillium Up" w:hAnsi="Titillium Up"/>
                <w:b/>
                <w:sz w:val="24"/>
                <w:szCs w:val="24"/>
              </w:rPr>
              <w:t xml:space="preserve">€ 80,00 </w:t>
            </w:r>
          </w:p>
        </w:tc>
      </w:tr>
      <w:tr w:rsidR="00954EE3" w:rsidRPr="00246D80" w14:paraId="18FFDB6C" w14:textId="77777777" w:rsidTr="00972220">
        <w:trPr>
          <w:trHeight w:val="240"/>
        </w:trPr>
        <w:tc>
          <w:tcPr>
            <w:tcW w:w="946" w:type="dxa"/>
            <w:vMerge/>
            <w:tcBorders>
              <w:left w:val="single" w:sz="4" w:space="0" w:color="auto"/>
              <w:right w:val="single" w:sz="4" w:space="0" w:color="auto"/>
            </w:tcBorders>
          </w:tcPr>
          <w:p w14:paraId="379CECF3" w14:textId="77777777" w:rsidR="00954EE3" w:rsidRPr="00246D80" w:rsidRDefault="00954EE3" w:rsidP="00972220">
            <w:pPr>
              <w:tabs>
                <w:tab w:val="center" w:pos="328"/>
              </w:tabs>
              <w:autoSpaceDE w:val="0"/>
              <w:autoSpaceDN w:val="0"/>
              <w:adjustRightInd w:val="0"/>
              <w:rPr>
                <w:rFonts w:ascii="Titillium Up" w:hAnsi="Titillium Up"/>
                <w:b/>
                <w:sz w:val="24"/>
                <w:szCs w:val="24"/>
              </w:rPr>
            </w:pPr>
          </w:p>
        </w:tc>
        <w:tc>
          <w:tcPr>
            <w:tcW w:w="2005" w:type="dxa"/>
            <w:vMerge/>
            <w:tcBorders>
              <w:left w:val="single" w:sz="4" w:space="0" w:color="auto"/>
              <w:right w:val="single" w:sz="4" w:space="0" w:color="auto"/>
            </w:tcBorders>
          </w:tcPr>
          <w:p w14:paraId="1A3AF87A" w14:textId="77777777" w:rsidR="00954EE3" w:rsidRPr="00246D80" w:rsidRDefault="00954EE3" w:rsidP="00972220">
            <w:pPr>
              <w:autoSpaceDE w:val="0"/>
              <w:autoSpaceDN w:val="0"/>
              <w:adjustRightInd w:val="0"/>
              <w:rPr>
                <w:rFonts w:ascii="Titillium Up" w:hAnsi="Titillium Up"/>
                <w:b/>
                <w:sz w:val="24"/>
                <w:szCs w:val="24"/>
              </w:rPr>
            </w:pPr>
          </w:p>
        </w:tc>
        <w:tc>
          <w:tcPr>
            <w:tcW w:w="1423" w:type="dxa"/>
            <w:vMerge/>
            <w:tcBorders>
              <w:left w:val="single" w:sz="4" w:space="0" w:color="auto"/>
              <w:right w:val="single" w:sz="4" w:space="0" w:color="auto"/>
            </w:tcBorders>
          </w:tcPr>
          <w:p w14:paraId="635B1DC2" w14:textId="77777777" w:rsidR="00954EE3" w:rsidRPr="00246D80" w:rsidRDefault="00954EE3" w:rsidP="00972220">
            <w:pPr>
              <w:autoSpaceDE w:val="0"/>
              <w:autoSpaceDN w:val="0"/>
              <w:adjustRightInd w:val="0"/>
              <w:rPr>
                <w:rFonts w:ascii="Titillium Up" w:hAnsi="Titillium Up"/>
                <w:b/>
                <w:sz w:val="24"/>
                <w:szCs w:val="24"/>
              </w:rPr>
            </w:pPr>
          </w:p>
        </w:tc>
        <w:tc>
          <w:tcPr>
            <w:tcW w:w="1750" w:type="dxa"/>
            <w:vMerge/>
            <w:tcBorders>
              <w:left w:val="single" w:sz="4" w:space="0" w:color="auto"/>
              <w:right w:val="single" w:sz="4" w:space="0" w:color="auto"/>
            </w:tcBorders>
            <w:vAlign w:val="center"/>
          </w:tcPr>
          <w:p w14:paraId="39919995" w14:textId="77777777" w:rsidR="00954EE3" w:rsidRPr="00246D80" w:rsidRDefault="00954EE3" w:rsidP="00972220">
            <w:pPr>
              <w:autoSpaceDE w:val="0"/>
              <w:autoSpaceDN w:val="0"/>
              <w:adjustRightInd w:val="0"/>
              <w:jc w:val="center"/>
              <w:rPr>
                <w:rFonts w:ascii="Titillium Up" w:hAnsi="Titillium Up"/>
                <w:b/>
                <w:sz w:val="24"/>
                <w:szCs w:val="24"/>
              </w:rPr>
            </w:pPr>
          </w:p>
        </w:tc>
        <w:tc>
          <w:tcPr>
            <w:tcW w:w="1712" w:type="dxa"/>
            <w:vMerge/>
            <w:tcBorders>
              <w:left w:val="single" w:sz="4" w:space="0" w:color="auto"/>
              <w:right w:val="single" w:sz="4" w:space="0" w:color="auto"/>
            </w:tcBorders>
          </w:tcPr>
          <w:p w14:paraId="21BDB782" w14:textId="77777777" w:rsidR="00954EE3" w:rsidRPr="00246D80" w:rsidRDefault="00954EE3" w:rsidP="00972220">
            <w:pPr>
              <w:autoSpaceDE w:val="0"/>
              <w:autoSpaceDN w:val="0"/>
              <w:adjustRightInd w:val="0"/>
              <w:jc w:val="center"/>
              <w:rPr>
                <w:rFonts w:ascii="Titillium Up" w:hAnsi="Titillium Up"/>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35A98E" w14:textId="77777777" w:rsidR="00954EE3" w:rsidRPr="00246D80" w:rsidRDefault="00954EE3" w:rsidP="00972220">
            <w:pPr>
              <w:autoSpaceDE w:val="0"/>
              <w:autoSpaceDN w:val="0"/>
              <w:adjustRightInd w:val="0"/>
              <w:jc w:val="center"/>
              <w:rPr>
                <w:rFonts w:ascii="Titillium Up" w:hAnsi="Titillium Up"/>
                <w:b/>
                <w:sz w:val="24"/>
                <w:szCs w:val="24"/>
              </w:rPr>
            </w:pPr>
            <w:r w:rsidRPr="00246D80">
              <w:rPr>
                <w:rFonts w:ascii="Titillium Up" w:hAnsi="Titillium Up"/>
                <w:b/>
                <w:sz w:val="24"/>
                <w:szCs w:val="24"/>
              </w:rPr>
              <w:t>3° e successivi</w:t>
            </w:r>
          </w:p>
        </w:tc>
        <w:tc>
          <w:tcPr>
            <w:tcW w:w="1119" w:type="dxa"/>
            <w:tcBorders>
              <w:top w:val="single" w:sz="4" w:space="0" w:color="auto"/>
              <w:left w:val="single" w:sz="4" w:space="0" w:color="auto"/>
              <w:bottom w:val="single" w:sz="4" w:space="0" w:color="auto"/>
              <w:right w:val="single" w:sz="4" w:space="0" w:color="auto"/>
            </w:tcBorders>
          </w:tcPr>
          <w:p w14:paraId="53B67052" w14:textId="77777777" w:rsidR="00954EE3" w:rsidRPr="00246D80" w:rsidRDefault="00954EE3" w:rsidP="00972220">
            <w:pPr>
              <w:autoSpaceDE w:val="0"/>
              <w:autoSpaceDN w:val="0"/>
              <w:adjustRightInd w:val="0"/>
              <w:jc w:val="center"/>
              <w:rPr>
                <w:rFonts w:ascii="Titillium Up" w:hAnsi="Titillium Up"/>
                <w:b/>
                <w:sz w:val="24"/>
                <w:szCs w:val="24"/>
              </w:rPr>
            </w:pPr>
            <w:r w:rsidRPr="00246D80">
              <w:rPr>
                <w:rFonts w:ascii="Titillium Up" w:hAnsi="Titillium Up"/>
                <w:b/>
                <w:sz w:val="24"/>
                <w:szCs w:val="24"/>
              </w:rPr>
              <w:t xml:space="preserve">€ 155,00 </w:t>
            </w:r>
          </w:p>
        </w:tc>
      </w:tr>
      <w:tr w:rsidR="00954EE3" w:rsidRPr="00246D80" w14:paraId="72D286C5" w14:textId="77777777" w:rsidTr="00972220">
        <w:trPr>
          <w:trHeight w:val="151"/>
        </w:trPr>
        <w:tc>
          <w:tcPr>
            <w:tcW w:w="946" w:type="dxa"/>
            <w:vMerge/>
            <w:tcBorders>
              <w:left w:val="single" w:sz="4" w:space="0" w:color="auto"/>
              <w:right w:val="single" w:sz="4" w:space="0" w:color="auto"/>
            </w:tcBorders>
          </w:tcPr>
          <w:p w14:paraId="2A918BB6" w14:textId="77777777" w:rsidR="00954EE3" w:rsidRPr="00246D80" w:rsidRDefault="00954EE3" w:rsidP="00972220">
            <w:pPr>
              <w:tabs>
                <w:tab w:val="center" w:pos="328"/>
              </w:tabs>
              <w:autoSpaceDE w:val="0"/>
              <w:autoSpaceDN w:val="0"/>
              <w:adjustRightInd w:val="0"/>
              <w:rPr>
                <w:rFonts w:ascii="Titillium Up" w:hAnsi="Titillium Up"/>
                <w:b/>
                <w:sz w:val="24"/>
                <w:szCs w:val="24"/>
              </w:rPr>
            </w:pPr>
          </w:p>
        </w:tc>
        <w:tc>
          <w:tcPr>
            <w:tcW w:w="2005" w:type="dxa"/>
            <w:vMerge/>
            <w:tcBorders>
              <w:left w:val="single" w:sz="4" w:space="0" w:color="auto"/>
              <w:right w:val="single" w:sz="4" w:space="0" w:color="auto"/>
            </w:tcBorders>
          </w:tcPr>
          <w:p w14:paraId="2CA997EA" w14:textId="77777777" w:rsidR="00954EE3" w:rsidRPr="00246D80" w:rsidRDefault="00954EE3" w:rsidP="00972220">
            <w:pPr>
              <w:autoSpaceDE w:val="0"/>
              <w:autoSpaceDN w:val="0"/>
              <w:adjustRightInd w:val="0"/>
              <w:rPr>
                <w:rFonts w:ascii="Titillium Up" w:hAnsi="Titillium Up"/>
                <w:b/>
                <w:sz w:val="24"/>
                <w:szCs w:val="24"/>
              </w:rPr>
            </w:pPr>
          </w:p>
        </w:tc>
        <w:tc>
          <w:tcPr>
            <w:tcW w:w="1423" w:type="dxa"/>
            <w:vMerge/>
            <w:tcBorders>
              <w:left w:val="single" w:sz="4" w:space="0" w:color="auto"/>
              <w:right w:val="single" w:sz="4" w:space="0" w:color="auto"/>
            </w:tcBorders>
          </w:tcPr>
          <w:p w14:paraId="0135BAD6" w14:textId="77777777" w:rsidR="00954EE3" w:rsidRPr="00246D80" w:rsidRDefault="00954EE3" w:rsidP="00972220">
            <w:pPr>
              <w:autoSpaceDE w:val="0"/>
              <w:autoSpaceDN w:val="0"/>
              <w:adjustRightInd w:val="0"/>
              <w:rPr>
                <w:rFonts w:ascii="Titillium Up" w:hAnsi="Titillium Up"/>
                <w:b/>
                <w:sz w:val="24"/>
                <w:szCs w:val="24"/>
              </w:rPr>
            </w:pPr>
          </w:p>
        </w:tc>
        <w:tc>
          <w:tcPr>
            <w:tcW w:w="1750" w:type="dxa"/>
            <w:vMerge/>
            <w:tcBorders>
              <w:left w:val="single" w:sz="4" w:space="0" w:color="auto"/>
              <w:right w:val="single" w:sz="4" w:space="0" w:color="auto"/>
            </w:tcBorders>
            <w:vAlign w:val="center"/>
          </w:tcPr>
          <w:p w14:paraId="054D5A85" w14:textId="77777777" w:rsidR="00954EE3" w:rsidRPr="00246D80" w:rsidRDefault="00954EE3" w:rsidP="00972220">
            <w:pPr>
              <w:autoSpaceDE w:val="0"/>
              <w:autoSpaceDN w:val="0"/>
              <w:adjustRightInd w:val="0"/>
              <w:jc w:val="center"/>
              <w:rPr>
                <w:rFonts w:ascii="Titillium Up" w:hAnsi="Titillium Up"/>
                <w:b/>
                <w:sz w:val="24"/>
                <w:szCs w:val="24"/>
              </w:rPr>
            </w:pPr>
          </w:p>
        </w:tc>
        <w:tc>
          <w:tcPr>
            <w:tcW w:w="1712" w:type="dxa"/>
            <w:vMerge/>
            <w:tcBorders>
              <w:left w:val="single" w:sz="4" w:space="0" w:color="auto"/>
              <w:right w:val="single" w:sz="4" w:space="0" w:color="auto"/>
            </w:tcBorders>
          </w:tcPr>
          <w:p w14:paraId="03964B55" w14:textId="77777777" w:rsidR="00954EE3" w:rsidRPr="00246D80" w:rsidRDefault="00954EE3" w:rsidP="00972220">
            <w:pPr>
              <w:autoSpaceDE w:val="0"/>
              <w:autoSpaceDN w:val="0"/>
              <w:adjustRightInd w:val="0"/>
              <w:jc w:val="center"/>
              <w:rPr>
                <w:rFonts w:ascii="Titillium Up" w:hAnsi="Titillium Up"/>
                <w:b/>
                <w:sz w:val="24"/>
                <w:szCs w:val="24"/>
              </w:rPr>
            </w:pPr>
          </w:p>
        </w:tc>
        <w:tc>
          <w:tcPr>
            <w:tcW w:w="2536" w:type="dxa"/>
            <w:gridSpan w:val="2"/>
            <w:tcBorders>
              <w:top w:val="single" w:sz="4" w:space="0" w:color="auto"/>
              <w:left w:val="single" w:sz="4" w:space="0" w:color="auto"/>
              <w:bottom w:val="single" w:sz="4" w:space="0" w:color="auto"/>
              <w:right w:val="single" w:sz="4" w:space="0" w:color="auto"/>
            </w:tcBorders>
          </w:tcPr>
          <w:p w14:paraId="37D49E88" w14:textId="77777777" w:rsidR="00954EE3" w:rsidRPr="00246D80" w:rsidRDefault="00954EE3" w:rsidP="00972220">
            <w:pPr>
              <w:autoSpaceDE w:val="0"/>
              <w:autoSpaceDN w:val="0"/>
              <w:adjustRightInd w:val="0"/>
              <w:jc w:val="center"/>
              <w:rPr>
                <w:rFonts w:ascii="Titillium Up" w:hAnsi="Titillium Up"/>
                <w:b/>
                <w:sz w:val="24"/>
                <w:szCs w:val="24"/>
              </w:rPr>
            </w:pPr>
            <w:r w:rsidRPr="00246D80">
              <w:rPr>
                <w:rFonts w:ascii="Titillium Up" w:hAnsi="Titillium Up"/>
                <w:b/>
                <w:sz w:val="24"/>
                <w:szCs w:val="24"/>
              </w:rPr>
              <w:t>PROFESSIONALE</w:t>
            </w:r>
          </w:p>
        </w:tc>
      </w:tr>
      <w:tr w:rsidR="00954EE3" w:rsidRPr="00246D80" w14:paraId="615F3694" w14:textId="77777777" w:rsidTr="00972220">
        <w:trPr>
          <w:trHeight w:val="152"/>
        </w:trPr>
        <w:tc>
          <w:tcPr>
            <w:tcW w:w="946" w:type="dxa"/>
            <w:vMerge/>
            <w:tcBorders>
              <w:left w:val="single" w:sz="4" w:space="0" w:color="auto"/>
              <w:bottom w:val="single" w:sz="4" w:space="0" w:color="auto"/>
              <w:right w:val="single" w:sz="4" w:space="0" w:color="auto"/>
            </w:tcBorders>
          </w:tcPr>
          <w:p w14:paraId="11892742" w14:textId="77777777" w:rsidR="00954EE3" w:rsidRPr="00246D80" w:rsidRDefault="00954EE3" w:rsidP="00972220">
            <w:pPr>
              <w:tabs>
                <w:tab w:val="center" w:pos="328"/>
              </w:tabs>
              <w:autoSpaceDE w:val="0"/>
              <w:autoSpaceDN w:val="0"/>
              <w:adjustRightInd w:val="0"/>
              <w:rPr>
                <w:rFonts w:ascii="Titillium Up" w:hAnsi="Titillium Up"/>
                <w:b/>
                <w:sz w:val="24"/>
                <w:szCs w:val="24"/>
              </w:rPr>
            </w:pPr>
          </w:p>
        </w:tc>
        <w:tc>
          <w:tcPr>
            <w:tcW w:w="2005" w:type="dxa"/>
            <w:vMerge/>
            <w:tcBorders>
              <w:left w:val="single" w:sz="4" w:space="0" w:color="auto"/>
              <w:bottom w:val="single" w:sz="4" w:space="0" w:color="auto"/>
              <w:right w:val="single" w:sz="4" w:space="0" w:color="auto"/>
            </w:tcBorders>
          </w:tcPr>
          <w:p w14:paraId="55B3D3D6" w14:textId="77777777" w:rsidR="00954EE3" w:rsidRPr="00246D80" w:rsidRDefault="00954EE3" w:rsidP="00972220">
            <w:pPr>
              <w:autoSpaceDE w:val="0"/>
              <w:autoSpaceDN w:val="0"/>
              <w:adjustRightInd w:val="0"/>
              <w:rPr>
                <w:rFonts w:ascii="Titillium Up" w:hAnsi="Titillium Up"/>
                <w:b/>
                <w:sz w:val="24"/>
                <w:szCs w:val="24"/>
              </w:rPr>
            </w:pPr>
          </w:p>
        </w:tc>
        <w:tc>
          <w:tcPr>
            <w:tcW w:w="1423" w:type="dxa"/>
            <w:vMerge/>
            <w:tcBorders>
              <w:left w:val="single" w:sz="4" w:space="0" w:color="auto"/>
              <w:bottom w:val="single" w:sz="4" w:space="0" w:color="auto"/>
              <w:right w:val="single" w:sz="4" w:space="0" w:color="auto"/>
            </w:tcBorders>
          </w:tcPr>
          <w:p w14:paraId="6ED28FCE" w14:textId="77777777" w:rsidR="00954EE3" w:rsidRPr="00246D80" w:rsidRDefault="00954EE3" w:rsidP="00972220">
            <w:pPr>
              <w:autoSpaceDE w:val="0"/>
              <w:autoSpaceDN w:val="0"/>
              <w:adjustRightInd w:val="0"/>
              <w:rPr>
                <w:rFonts w:ascii="Titillium Up" w:hAnsi="Titillium Up"/>
                <w:b/>
                <w:sz w:val="24"/>
                <w:szCs w:val="24"/>
              </w:rPr>
            </w:pPr>
          </w:p>
        </w:tc>
        <w:tc>
          <w:tcPr>
            <w:tcW w:w="1750" w:type="dxa"/>
            <w:vMerge/>
            <w:tcBorders>
              <w:left w:val="single" w:sz="4" w:space="0" w:color="auto"/>
              <w:bottom w:val="single" w:sz="4" w:space="0" w:color="auto"/>
              <w:right w:val="single" w:sz="4" w:space="0" w:color="auto"/>
            </w:tcBorders>
            <w:vAlign w:val="center"/>
          </w:tcPr>
          <w:p w14:paraId="1EE3D497" w14:textId="77777777" w:rsidR="00954EE3" w:rsidRPr="00246D80" w:rsidRDefault="00954EE3" w:rsidP="00972220">
            <w:pPr>
              <w:autoSpaceDE w:val="0"/>
              <w:autoSpaceDN w:val="0"/>
              <w:adjustRightInd w:val="0"/>
              <w:jc w:val="center"/>
              <w:rPr>
                <w:rFonts w:ascii="Titillium Up" w:hAnsi="Titillium Up"/>
                <w:b/>
                <w:sz w:val="24"/>
                <w:szCs w:val="24"/>
              </w:rPr>
            </w:pPr>
          </w:p>
        </w:tc>
        <w:tc>
          <w:tcPr>
            <w:tcW w:w="1712" w:type="dxa"/>
            <w:vMerge/>
            <w:tcBorders>
              <w:left w:val="single" w:sz="4" w:space="0" w:color="auto"/>
              <w:bottom w:val="single" w:sz="4" w:space="0" w:color="auto"/>
              <w:right w:val="single" w:sz="4" w:space="0" w:color="auto"/>
            </w:tcBorders>
          </w:tcPr>
          <w:p w14:paraId="255F56FC" w14:textId="77777777" w:rsidR="00954EE3" w:rsidRPr="00246D80" w:rsidRDefault="00954EE3" w:rsidP="00972220">
            <w:pPr>
              <w:autoSpaceDE w:val="0"/>
              <w:autoSpaceDN w:val="0"/>
              <w:adjustRightInd w:val="0"/>
              <w:jc w:val="center"/>
              <w:rPr>
                <w:rFonts w:ascii="Titillium Up" w:hAnsi="Titillium Up"/>
                <w:b/>
                <w:sz w:val="24"/>
                <w:szCs w:val="24"/>
              </w:rPr>
            </w:pPr>
          </w:p>
        </w:tc>
        <w:tc>
          <w:tcPr>
            <w:tcW w:w="2536" w:type="dxa"/>
            <w:gridSpan w:val="2"/>
            <w:tcBorders>
              <w:top w:val="single" w:sz="4" w:space="0" w:color="auto"/>
              <w:left w:val="single" w:sz="4" w:space="0" w:color="auto"/>
              <w:bottom w:val="single" w:sz="4" w:space="0" w:color="auto"/>
              <w:right w:val="single" w:sz="4" w:space="0" w:color="auto"/>
            </w:tcBorders>
          </w:tcPr>
          <w:p w14:paraId="5598C8E1" w14:textId="77777777" w:rsidR="00954EE3" w:rsidRPr="00246D80" w:rsidRDefault="00954EE3" w:rsidP="00972220">
            <w:pPr>
              <w:autoSpaceDE w:val="0"/>
              <w:autoSpaceDN w:val="0"/>
              <w:adjustRightInd w:val="0"/>
              <w:jc w:val="center"/>
              <w:rPr>
                <w:rFonts w:ascii="Titillium Up" w:hAnsi="Titillium Up"/>
                <w:b/>
                <w:sz w:val="24"/>
                <w:szCs w:val="24"/>
              </w:rPr>
            </w:pPr>
            <w:r w:rsidRPr="00246D80">
              <w:rPr>
                <w:rFonts w:ascii="Titillium Up" w:hAnsi="Titillium Up"/>
                <w:b/>
                <w:sz w:val="24"/>
                <w:szCs w:val="24"/>
              </w:rPr>
              <w:t>Franchigia € 125,00 Scoperto 10% massimo € 3.000,00</w:t>
            </w:r>
          </w:p>
        </w:tc>
      </w:tr>
    </w:tbl>
    <w:p w14:paraId="360E3B1C" w14:textId="77777777" w:rsidR="00603D2F" w:rsidRDefault="00603D2F" w:rsidP="00603D2F">
      <w:pPr>
        <w:autoSpaceDE w:val="0"/>
        <w:autoSpaceDN w:val="0"/>
        <w:adjustRightInd w:val="0"/>
      </w:pPr>
    </w:p>
    <w:p w14:paraId="5AFE613C" w14:textId="77777777" w:rsidR="00603D2F" w:rsidRPr="00246D80" w:rsidRDefault="00603D2F" w:rsidP="00246D80">
      <w:pPr>
        <w:tabs>
          <w:tab w:val="left" w:pos="426"/>
        </w:tabs>
        <w:autoSpaceDE w:val="0"/>
        <w:autoSpaceDN w:val="0"/>
        <w:adjustRightInd w:val="0"/>
        <w:jc w:val="both"/>
        <w:rPr>
          <w:rFonts w:ascii="Titillium Up" w:hAnsi="Titillium Up"/>
          <w:bCs/>
          <w:iCs/>
          <w:sz w:val="24"/>
          <w:szCs w:val="24"/>
        </w:rPr>
      </w:pPr>
      <w:r w:rsidRPr="00246D80">
        <w:rPr>
          <w:rFonts w:ascii="Titillium Up" w:hAnsi="Titillium Up"/>
          <w:bCs/>
          <w:iCs/>
          <w:sz w:val="24"/>
          <w:szCs w:val="24"/>
        </w:rPr>
        <w:t xml:space="preserve">Per tutte le opzioni sopra indicate è prevista </w:t>
      </w:r>
      <w:r w:rsidRPr="00246D80">
        <w:rPr>
          <w:rFonts w:ascii="Titillium Up" w:hAnsi="Titillium Up"/>
          <w:b/>
          <w:iCs/>
          <w:sz w:val="24"/>
          <w:szCs w:val="24"/>
        </w:rPr>
        <w:t>GRATUITAMENTE</w:t>
      </w:r>
      <w:r w:rsidRPr="00246D80">
        <w:rPr>
          <w:rFonts w:ascii="Titillium Up" w:hAnsi="Titillium Up"/>
          <w:bCs/>
          <w:iCs/>
          <w:sz w:val="24"/>
          <w:szCs w:val="24"/>
        </w:rPr>
        <w:t xml:space="preserve"> la copertura assicurativa RC del Capofamiglia con le seguenti principali caratteristiche: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557"/>
      </w:tblGrid>
      <w:tr w:rsidR="00603D2F" w:rsidRPr="00E84621" w14:paraId="062D34FC" w14:textId="77777777" w:rsidTr="00BE0AB0">
        <w:tc>
          <w:tcPr>
            <w:tcW w:w="4820" w:type="dxa"/>
          </w:tcPr>
          <w:p w14:paraId="6BE5203F" w14:textId="77777777" w:rsidR="00603D2F" w:rsidRPr="00246D80" w:rsidRDefault="00603D2F" w:rsidP="00B7258D">
            <w:pPr>
              <w:autoSpaceDE w:val="0"/>
              <w:autoSpaceDN w:val="0"/>
              <w:adjustRightInd w:val="0"/>
              <w:jc w:val="center"/>
              <w:rPr>
                <w:rFonts w:ascii="Titillium Up" w:hAnsi="Titillium Up"/>
                <w:b/>
                <w:sz w:val="24"/>
                <w:szCs w:val="24"/>
              </w:rPr>
            </w:pPr>
            <w:r w:rsidRPr="00246D80">
              <w:rPr>
                <w:rFonts w:ascii="Titillium Up" w:hAnsi="Titillium Up"/>
                <w:b/>
                <w:sz w:val="24"/>
                <w:szCs w:val="24"/>
              </w:rPr>
              <w:t>Massimale</w:t>
            </w:r>
          </w:p>
        </w:tc>
        <w:tc>
          <w:tcPr>
            <w:tcW w:w="5557" w:type="dxa"/>
          </w:tcPr>
          <w:p w14:paraId="50130ED7" w14:textId="77777777" w:rsidR="00603D2F" w:rsidRPr="00246D80" w:rsidRDefault="00603D2F" w:rsidP="00B7258D">
            <w:pPr>
              <w:autoSpaceDE w:val="0"/>
              <w:autoSpaceDN w:val="0"/>
              <w:adjustRightInd w:val="0"/>
              <w:jc w:val="center"/>
              <w:rPr>
                <w:rFonts w:ascii="Titillium Up" w:hAnsi="Titillium Up"/>
                <w:b/>
                <w:sz w:val="24"/>
                <w:szCs w:val="24"/>
              </w:rPr>
            </w:pPr>
            <w:r w:rsidRPr="00246D80">
              <w:rPr>
                <w:rFonts w:ascii="Titillium Up" w:hAnsi="Titillium Up"/>
                <w:b/>
                <w:sz w:val="24"/>
                <w:szCs w:val="24"/>
              </w:rPr>
              <w:t>Scoperto a carico dell’assicurato</w:t>
            </w:r>
          </w:p>
        </w:tc>
      </w:tr>
      <w:tr w:rsidR="00603D2F" w:rsidRPr="00E84621" w14:paraId="7ED6AB79" w14:textId="77777777" w:rsidTr="00BE0AB0">
        <w:tc>
          <w:tcPr>
            <w:tcW w:w="4820" w:type="dxa"/>
          </w:tcPr>
          <w:p w14:paraId="0F566A16" w14:textId="77777777" w:rsidR="00603D2F" w:rsidRPr="00246D80" w:rsidRDefault="00603D2F" w:rsidP="00B7258D">
            <w:pPr>
              <w:autoSpaceDE w:val="0"/>
              <w:autoSpaceDN w:val="0"/>
              <w:adjustRightInd w:val="0"/>
              <w:jc w:val="center"/>
              <w:rPr>
                <w:rFonts w:ascii="Titillium Up" w:hAnsi="Titillium Up"/>
                <w:b/>
                <w:sz w:val="24"/>
                <w:szCs w:val="24"/>
              </w:rPr>
            </w:pPr>
            <w:r w:rsidRPr="00246D80">
              <w:rPr>
                <w:rFonts w:ascii="Titillium Up" w:hAnsi="Titillium Up"/>
                <w:b/>
                <w:sz w:val="24"/>
                <w:szCs w:val="24"/>
              </w:rPr>
              <w:t xml:space="preserve">€ 250.000,00 per anno </w:t>
            </w:r>
          </w:p>
          <w:p w14:paraId="01308CDC" w14:textId="77777777" w:rsidR="00603D2F" w:rsidRPr="00246D80" w:rsidRDefault="00603D2F" w:rsidP="00B7258D">
            <w:pPr>
              <w:autoSpaceDE w:val="0"/>
              <w:autoSpaceDN w:val="0"/>
              <w:adjustRightInd w:val="0"/>
              <w:jc w:val="center"/>
              <w:rPr>
                <w:rFonts w:ascii="Titillium Up" w:hAnsi="Titillium Up"/>
                <w:b/>
                <w:sz w:val="24"/>
                <w:szCs w:val="24"/>
              </w:rPr>
            </w:pPr>
            <w:r w:rsidRPr="00246D80">
              <w:rPr>
                <w:rFonts w:ascii="Titillium Up" w:hAnsi="Titillium Up"/>
                <w:b/>
                <w:sz w:val="24"/>
                <w:szCs w:val="24"/>
              </w:rPr>
              <w:t xml:space="preserve">    </w:t>
            </w:r>
            <w:r w:rsidR="00756B8C">
              <w:rPr>
                <w:rFonts w:ascii="Titillium Up" w:hAnsi="Titillium Up"/>
                <w:b/>
                <w:sz w:val="24"/>
                <w:szCs w:val="24"/>
              </w:rPr>
              <w:t xml:space="preserve"> </w:t>
            </w:r>
            <w:r w:rsidRPr="00246D80">
              <w:rPr>
                <w:rFonts w:ascii="Titillium Up" w:hAnsi="Titillium Up"/>
                <w:b/>
                <w:sz w:val="24"/>
                <w:szCs w:val="24"/>
              </w:rPr>
              <w:t xml:space="preserve"> € 50.000,00 per sinistro</w:t>
            </w:r>
          </w:p>
        </w:tc>
        <w:tc>
          <w:tcPr>
            <w:tcW w:w="5557" w:type="dxa"/>
            <w:tcBorders>
              <w:bottom w:val="single" w:sz="4" w:space="0" w:color="auto"/>
            </w:tcBorders>
          </w:tcPr>
          <w:p w14:paraId="3E98969C" w14:textId="77777777" w:rsidR="00603D2F" w:rsidRPr="00246D80" w:rsidRDefault="00603D2F" w:rsidP="00B7258D">
            <w:pPr>
              <w:autoSpaceDE w:val="0"/>
              <w:autoSpaceDN w:val="0"/>
              <w:adjustRightInd w:val="0"/>
              <w:jc w:val="center"/>
              <w:rPr>
                <w:rFonts w:ascii="Titillium Up" w:hAnsi="Titillium Up"/>
                <w:b/>
                <w:sz w:val="24"/>
                <w:szCs w:val="24"/>
              </w:rPr>
            </w:pPr>
            <w:r w:rsidRPr="00246D80">
              <w:rPr>
                <w:rFonts w:ascii="Titillium Up" w:hAnsi="Titillium Up"/>
                <w:b/>
                <w:sz w:val="24"/>
                <w:szCs w:val="24"/>
              </w:rPr>
              <w:t>10% con una Franchigia fissa di € 250,00</w:t>
            </w:r>
          </w:p>
        </w:tc>
      </w:tr>
    </w:tbl>
    <w:p w14:paraId="0C7D2D3B" w14:textId="77777777" w:rsidR="00603D2F" w:rsidRDefault="00603D2F" w:rsidP="00603D2F">
      <w:pPr>
        <w:autoSpaceDE w:val="0"/>
        <w:autoSpaceDN w:val="0"/>
        <w:adjustRightInd w:val="0"/>
        <w:jc w:val="both"/>
      </w:pPr>
    </w:p>
    <w:p w14:paraId="393CF60B" w14:textId="77777777" w:rsidR="00246D80" w:rsidRDefault="00246D80" w:rsidP="00603D2F">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p>
    <w:p w14:paraId="72B7D404" w14:textId="77777777" w:rsidR="00603D2F" w:rsidRPr="00603D2F" w:rsidRDefault="00603D2F" w:rsidP="00603D2F">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r w:rsidRPr="00603D2F">
        <w:rPr>
          <w:rFonts w:ascii="Titillium Up" w:hAnsi="Titillium Up" w:cs="Arial"/>
          <w:b/>
          <w:bCs/>
          <w:caps/>
          <w:color w:val="0070C0"/>
          <w:w w:val="94"/>
          <w:sz w:val="28"/>
          <w:szCs w:val="28"/>
        </w:rPr>
        <w:t>5.</w:t>
      </w:r>
      <w:r w:rsidR="00246D80">
        <w:rPr>
          <w:rFonts w:ascii="Titillium Up" w:hAnsi="Titillium Up" w:cs="Arial"/>
          <w:b/>
          <w:bCs/>
          <w:caps/>
          <w:color w:val="0070C0"/>
          <w:w w:val="94"/>
          <w:sz w:val="28"/>
          <w:szCs w:val="28"/>
        </w:rPr>
        <w:t>10</w:t>
      </w:r>
      <w:r w:rsidRPr="00603D2F">
        <w:rPr>
          <w:rFonts w:ascii="Titillium Up" w:hAnsi="Titillium Up" w:cs="Arial"/>
          <w:b/>
          <w:bCs/>
          <w:caps/>
          <w:color w:val="0070C0"/>
          <w:w w:val="94"/>
          <w:sz w:val="28"/>
          <w:szCs w:val="28"/>
        </w:rPr>
        <w:t xml:space="preserve">  Modalità di adesione e decorrenza delle Garanzie</w:t>
      </w:r>
      <w:bookmarkEnd w:id="84"/>
    </w:p>
    <w:p w14:paraId="114D9D5C" w14:textId="77777777" w:rsidR="00603D2F" w:rsidRPr="00603D2F" w:rsidRDefault="00603D2F" w:rsidP="00603D2F">
      <w:pPr>
        <w:tabs>
          <w:tab w:val="left" w:pos="426"/>
        </w:tabs>
        <w:autoSpaceDE w:val="0"/>
        <w:autoSpaceDN w:val="0"/>
        <w:adjustRightInd w:val="0"/>
        <w:ind w:left="426"/>
        <w:jc w:val="both"/>
        <w:rPr>
          <w:rFonts w:ascii="Titillium Up" w:hAnsi="Titillium Up"/>
          <w:bCs/>
          <w:iCs/>
          <w:sz w:val="24"/>
          <w:szCs w:val="24"/>
        </w:rPr>
      </w:pPr>
      <w:r w:rsidRPr="00603D2F">
        <w:rPr>
          <w:rFonts w:ascii="Titillium Up" w:hAnsi="Titillium Up"/>
          <w:bCs/>
          <w:iCs/>
          <w:sz w:val="24"/>
          <w:szCs w:val="24"/>
        </w:rPr>
        <w:t xml:space="preserve">Le adesioni alla presente polizza devono avvenire on-line mediante adesione sul sito </w:t>
      </w:r>
      <w:r w:rsidRPr="00603D2F">
        <w:rPr>
          <w:rFonts w:ascii="Titillium Up" w:hAnsi="Titillium Up"/>
          <w:b/>
          <w:iCs/>
          <w:sz w:val="24"/>
          <w:szCs w:val="24"/>
        </w:rPr>
        <w:t>www.amintaunitasindacale.com</w:t>
      </w:r>
      <w:r w:rsidRPr="00603D2F">
        <w:rPr>
          <w:rFonts w:ascii="Titillium Up" w:hAnsi="Titillium Up"/>
          <w:bCs/>
          <w:iCs/>
          <w:sz w:val="24"/>
          <w:szCs w:val="24"/>
        </w:rPr>
        <w:t xml:space="preserve"> oppure via fax come indicato nel suddetto sito e pagamento mediante bonifico effettuato da ogni singolo aderente al sindacato.</w:t>
      </w:r>
    </w:p>
    <w:p w14:paraId="699A884B" w14:textId="77777777" w:rsidR="00603D2F" w:rsidRPr="00603D2F" w:rsidRDefault="00756B8C" w:rsidP="00603D2F">
      <w:pPr>
        <w:tabs>
          <w:tab w:val="left" w:pos="426"/>
        </w:tabs>
        <w:autoSpaceDE w:val="0"/>
        <w:autoSpaceDN w:val="0"/>
        <w:adjustRightInd w:val="0"/>
        <w:ind w:left="426"/>
        <w:jc w:val="both"/>
        <w:rPr>
          <w:rFonts w:ascii="Titillium Up" w:hAnsi="Titillium Up"/>
          <w:bCs/>
          <w:iCs/>
          <w:sz w:val="24"/>
          <w:szCs w:val="24"/>
        </w:rPr>
      </w:pPr>
      <w:r>
        <w:rPr>
          <w:rFonts w:ascii="Titillium Up" w:hAnsi="Titillium Up"/>
          <w:bCs/>
          <w:iCs/>
          <w:sz w:val="24"/>
          <w:szCs w:val="24"/>
        </w:rPr>
        <w:t>S</w:t>
      </w:r>
      <w:r w:rsidR="00603D2F" w:rsidRPr="00603D2F">
        <w:rPr>
          <w:rFonts w:ascii="Titillium Up" w:hAnsi="Titillium Up"/>
          <w:bCs/>
          <w:iCs/>
          <w:sz w:val="24"/>
          <w:szCs w:val="24"/>
        </w:rPr>
        <w:t>i precisa che:</w:t>
      </w:r>
    </w:p>
    <w:p w14:paraId="686B9616" w14:textId="77777777" w:rsidR="00603D2F" w:rsidRPr="00603D2F" w:rsidRDefault="00603D2F" w:rsidP="00603D2F">
      <w:pPr>
        <w:numPr>
          <w:ilvl w:val="0"/>
          <w:numId w:val="42"/>
        </w:numPr>
        <w:autoSpaceDE w:val="0"/>
        <w:autoSpaceDN w:val="0"/>
        <w:adjustRightInd w:val="0"/>
        <w:ind w:left="709" w:hanging="283"/>
        <w:jc w:val="both"/>
        <w:rPr>
          <w:rFonts w:ascii="Titillium Up" w:hAnsi="Titillium Up"/>
          <w:bCs/>
          <w:iCs/>
          <w:sz w:val="24"/>
          <w:szCs w:val="24"/>
        </w:rPr>
      </w:pPr>
      <w:r w:rsidRPr="00603D2F">
        <w:rPr>
          <w:rFonts w:ascii="Titillium Up" w:hAnsi="Titillium Up"/>
          <w:bCs/>
          <w:iCs/>
          <w:sz w:val="24"/>
          <w:szCs w:val="24"/>
        </w:rPr>
        <w:t xml:space="preserve">in caso di recesso dal Sindacato FALCRI-SILCEA-SINFUB dei singoli Assicurati, nel corso dell’annualità assicurativa, </w:t>
      </w:r>
      <w:r w:rsidRPr="00246D80">
        <w:rPr>
          <w:rFonts w:ascii="Titillium Up" w:hAnsi="Titillium Up"/>
          <w:bCs/>
          <w:iCs/>
          <w:sz w:val="24"/>
          <w:szCs w:val="24"/>
          <w:u w:val="single"/>
        </w:rPr>
        <w:t>non è dovuto alcun rimborso</w:t>
      </w:r>
      <w:r w:rsidRPr="00603D2F">
        <w:rPr>
          <w:rFonts w:ascii="Titillium Up" w:hAnsi="Titillium Up"/>
          <w:bCs/>
          <w:iCs/>
          <w:sz w:val="24"/>
          <w:szCs w:val="24"/>
        </w:rPr>
        <w:t>, anche se l’uscita è determinata da disdetta della Società per sinistro;</w:t>
      </w:r>
    </w:p>
    <w:p w14:paraId="0269B8F7" w14:textId="77777777" w:rsidR="00603D2F" w:rsidRPr="00603D2F" w:rsidRDefault="00603D2F" w:rsidP="00603D2F">
      <w:pPr>
        <w:numPr>
          <w:ilvl w:val="0"/>
          <w:numId w:val="42"/>
        </w:numPr>
        <w:autoSpaceDE w:val="0"/>
        <w:autoSpaceDN w:val="0"/>
        <w:adjustRightInd w:val="0"/>
        <w:ind w:left="709" w:hanging="283"/>
        <w:jc w:val="both"/>
        <w:rPr>
          <w:rFonts w:ascii="Titillium Up" w:hAnsi="Titillium Up"/>
          <w:bCs/>
          <w:iCs/>
          <w:sz w:val="24"/>
          <w:szCs w:val="24"/>
        </w:rPr>
      </w:pPr>
      <w:r w:rsidRPr="00603D2F">
        <w:rPr>
          <w:rFonts w:ascii="Titillium Up" w:hAnsi="Titillium Up"/>
          <w:bCs/>
          <w:iCs/>
          <w:sz w:val="24"/>
          <w:szCs w:val="24"/>
        </w:rPr>
        <w:t>in caso di cessazione totale o parziale (maternità o congedi parentali) del rapporto di lavoro con l’istituto di credito non è dovuto all’assicurato nessun rimborso del premio pagato.</w:t>
      </w:r>
    </w:p>
    <w:p w14:paraId="2CE98F95" w14:textId="77777777" w:rsidR="00603D2F" w:rsidRPr="00603D2F" w:rsidRDefault="00603D2F" w:rsidP="00603D2F">
      <w:pPr>
        <w:rPr>
          <w:strike/>
        </w:rPr>
      </w:pPr>
    </w:p>
    <w:p w14:paraId="17361549" w14:textId="77777777" w:rsidR="00F05BEF" w:rsidRPr="00512EF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87" w:name="_Toc373398551"/>
      <w:bookmarkStart w:id="88" w:name="_Toc531101143"/>
      <w:r>
        <w:rPr>
          <w:rFonts w:ascii="Titillium Up" w:hAnsi="Titillium Up" w:cs="Arial"/>
          <w:b/>
          <w:bCs/>
          <w:caps/>
          <w:color w:val="0070C0"/>
          <w:w w:val="94"/>
          <w:sz w:val="28"/>
          <w:szCs w:val="28"/>
        </w:rPr>
        <w:t>5</w:t>
      </w:r>
      <w:r w:rsidR="00F05BEF" w:rsidRPr="00512EF9">
        <w:rPr>
          <w:rFonts w:ascii="Titillium Up" w:hAnsi="Titillium Up" w:cs="Arial"/>
          <w:b/>
          <w:bCs/>
          <w:caps/>
          <w:color w:val="0070C0"/>
          <w:w w:val="94"/>
          <w:sz w:val="28"/>
          <w:szCs w:val="28"/>
        </w:rPr>
        <w:t>.11 Rinvio alle norme di legge</w:t>
      </w:r>
      <w:bookmarkEnd w:id="87"/>
      <w:bookmarkEnd w:id="88"/>
    </w:p>
    <w:p w14:paraId="10DB46F2"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Per tutto quanto non è qui diversamente regolato, valgono le norme di legge.</w:t>
      </w:r>
    </w:p>
    <w:p w14:paraId="473D78F2" w14:textId="77777777" w:rsidR="00F05BEF" w:rsidRDefault="00F05BEF" w:rsidP="00F05BEF">
      <w:pPr>
        <w:autoSpaceDE w:val="0"/>
        <w:autoSpaceDN w:val="0"/>
        <w:adjustRightInd w:val="0"/>
        <w:ind w:left="426"/>
      </w:pPr>
    </w:p>
    <w:p w14:paraId="1C55BD40" w14:textId="77777777" w:rsidR="00F05BEF" w:rsidRPr="00512EF9" w:rsidRDefault="00C1566B"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89" w:name="_Toc531101144"/>
      <w:r>
        <w:rPr>
          <w:rFonts w:ascii="Titillium Up" w:hAnsi="Titillium Up" w:cs="Arial"/>
          <w:b/>
          <w:bCs/>
          <w:caps/>
          <w:color w:val="0070C0"/>
          <w:w w:val="94"/>
          <w:sz w:val="28"/>
          <w:szCs w:val="28"/>
        </w:rPr>
        <w:t>5</w:t>
      </w:r>
      <w:r w:rsidR="00F05BEF" w:rsidRPr="00512EF9">
        <w:rPr>
          <w:rFonts w:ascii="Titillium Up" w:hAnsi="Titillium Up" w:cs="Arial"/>
          <w:b/>
          <w:bCs/>
          <w:caps/>
          <w:color w:val="0070C0"/>
          <w:w w:val="94"/>
          <w:sz w:val="28"/>
          <w:szCs w:val="28"/>
        </w:rPr>
        <w:t>.12 Interpretazione del contratto</w:t>
      </w:r>
      <w:bookmarkEnd w:id="85"/>
      <w:bookmarkEnd w:id="89"/>
    </w:p>
    <w:p w14:paraId="2049F1DB"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Si conviene fra le Parti che in caso di dubbia interpretazione delle norme contrattuali verrà data l'interpretazione più estensiva e più favorevole al Contraente/Assicurato su quanto contemplato dalle condizioni tutte di assicurazione.</w:t>
      </w:r>
    </w:p>
    <w:p w14:paraId="4FD01B7A" w14:textId="77777777" w:rsidR="00F05BEF" w:rsidRPr="009651ED" w:rsidRDefault="00F05BEF" w:rsidP="00F05BEF"/>
    <w:p w14:paraId="7DBAE4A5" w14:textId="77777777" w:rsidR="00F05BEF" w:rsidRPr="00512EF9" w:rsidRDefault="00C1566B"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90" w:name="_Toc531101145"/>
      <w:r>
        <w:rPr>
          <w:rFonts w:ascii="Titillium Up" w:hAnsi="Titillium Up" w:cs="Arial"/>
          <w:b/>
          <w:bCs/>
          <w:caps/>
          <w:color w:val="0070C0"/>
          <w:w w:val="94"/>
          <w:sz w:val="28"/>
          <w:szCs w:val="28"/>
        </w:rPr>
        <w:t>5</w:t>
      </w:r>
      <w:r w:rsidR="00F05BEF" w:rsidRPr="00512EF9">
        <w:rPr>
          <w:rFonts w:ascii="Titillium Up" w:hAnsi="Titillium Up" w:cs="Arial"/>
          <w:b/>
          <w:bCs/>
          <w:caps/>
          <w:color w:val="0070C0"/>
          <w:w w:val="94"/>
          <w:sz w:val="28"/>
          <w:szCs w:val="28"/>
        </w:rPr>
        <w:t>.13 Regolazione Del Premio</w:t>
      </w:r>
      <w:bookmarkEnd w:id="86"/>
      <w:bookmarkEnd w:id="90"/>
    </w:p>
    <w:p w14:paraId="05E2792B"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AMINTA s.r.l. ha l’obbligo di comunicare l’elenco degli Assicurati al 31.01, 31.03, 30.06., e al 31.12 ai fini del computo della regolazione del premio; resta inteso che eventuali mancate comunicazioni per disguidi o smarrimenti non invalidano la copertura, fermo restando l’obbligo di provare l’emissione del bonifico.</w:t>
      </w:r>
    </w:p>
    <w:p w14:paraId="5C4F1766"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La Società, appena in possesso delle adesioni, provvederà ad emettere appendice per l’incasso del relativo premio che dovrà essere perfezionato dalla Contraente entro 30 giorni dalla data di emissione.</w:t>
      </w:r>
    </w:p>
    <w:p w14:paraId="61418768"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Per il primo periodo di assicurazione la regolazione avviene entro il decimo giorno successivo a quello del mese in cui essa si verifica.</w:t>
      </w:r>
    </w:p>
    <w:p w14:paraId="29F49B71" w14:textId="77777777" w:rsidR="00F05BEF" w:rsidRPr="00EF0340" w:rsidRDefault="00F05BEF" w:rsidP="00F05BEF">
      <w:pPr>
        <w:autoSpaceDE w:val="0"/>
        <w:autoSpaceDN w:val="0"/>
        <w:adjustRightInd w:val="0"/>
        <w:ind w:left="426"/>
        <w:rPr>
          <w:rFonts w:ascii="Arial" w:hAnsi="Arial"/>
          <w:sz w:val="24"/>
          <w:szCs w:val="24"/>
        </w:rPr>
      </w:pPr>
    </w:p>
    <w:p w14:paraId="27FBFECA" w14:textId="77777777" w:rsidR="00F05BEF" w:rsidRPr="00512EF9" w:rsidRDefault="00C1566B"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91" w:name="_Toc373398579"/>
      <w:bookmarkStart w:id="92" w:name="_Toc531101146"/>
      <w:r>
        <w:rPr>
          <w:rFonts w:ascii="Titillium Up" w:hAnsi="Titillium Up" w:cs="Arial"/>
          <w:b/>
          <w:bCs/>
          <w:caps/>
          <w:color w:val="0070C0"/>
          <w:w w:val="94"/>
          <w:sz w:val="28"/>
          <w:szCs w:val="28"/>
        </w:rPr>
        <w:t>5</w:t>
      </w:r>
      <w:r w:rsidR="00F05BEF" w:rsidRPr="00512EF9">
        <w:rPr>
          <w:rFonts w:ascii="Titillium Up" w:hAnsi="Titillium Up" w:cs="Arial"/>
          <w:b/>
          <w:bCs/>
          <w:caps/>
          <w:color w:val="0070C0"/>
          <w:w w:val="94"/>
          <w:sz w:val="28"/>
          <w:szCs w:val="28"/>
        </w:rPr>
        <w:t>.14 Clausola Arbitrale</w:t>
      </w:r>
      <w:bookmarkEnd w:id="91"/>
      <w:bookmarkEnd w:id="92"/>
    </w:p>
    <w:p w14:paraId="096A62D4"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 xml:space="preserve">Tutte le controversie che dovessero insorgere in relazione al presente contratto, comprese quelle inerenti alla sua validità, interpretazione, esecuzione e risoluzione, saranno sottoposte ad arbitrato rituale, secondo il regolamento della Camera Arbitrale del Piemonte. </w:t>
      </w:r>
    </w:p>
    <w:p w14:paraId="515E1184"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Per le controversie di valore inferiore a € 150.000,00 l’arbitrato si svolgerà secondo la procedura di arbitrato rapido di diritto.</w:t>
      </w:r>
    </w:p>
    <w:p w14:paraId="20D2DF21"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Nel caso di controversie il cui valore ecceda € 150.000,00, l’arbitrato si svolgerà secondo la procedura di arbitrato ordinario di diritto e la decisione rimessa ad un collegio di tre arbitri.</w:t>
      </w:r>
    </w:p>
    <w:p w14:paraId="54C6B739"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Le parti si impegnano a dare pronta e puntuale esecuzione alla decisione degli Arbitri che sin da ora riconoscono come espressione della loro volontà contrattuale.</w:t>
      </w:r>
    </w:p>
    <w:p w14:paraId="666FF56C"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Ciascuna delle Parti sostiene le spese del proprio Arbitro; quelle del terzo Arbitro sono ripartite a metà.</w:t>
      </w:r>
    </w:p>
    <w:p w14:paraId="702729C4" w14:textId="77777777" w:rsidR="00F05BEF"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La sede dell’arbitrato sarà in TORINO presso la Segreteria della Camera Arbitrale del Piemonte.</w:t>
      </w:r>
    </w:p>
    <w:p w14:paraId="297A35DF" w14:textId="77777777" w:rsidR="00D74C83" w:rsidRDefault="00D74C83" w:rsidP="00D04AFA">
      <w:pPr>
        <w:tabs>
          <w:tab w:val="left" w:pos="426"/>
        </w:tabs>
        <w:autoSpaceDE w:val="0"/>
        <w:autoSpaceDN w:val="0"/>
        <w:adjustRightInd w:val="0"/>
        <w:ind w:left="426"/>
        <w:jc w:val="both"/>
        <w:rPr>
          <w:rFonts w:ascii="Titillium Up" w:hAnsi="Titillium Up"/>
          <w:bCs/>
          <w:iCs/>
          <w:sz w:val="24"/>
          <w:szCs w:val="24"/>
        </w:rPr>
      </w:pPr>
    </w:p>
    <w:p w14:paraId="5071749E" w14:textId="77777777" w:rsidR="00D74C83" w:rsidRPr="00D74C83" w:rsidRDefault="00D74C83" w:rsidP="00D74C83">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r>
        <w:rPr>
          <w:rFonts w:ascii="Titillium Up" w:hAnsi="Titillium Up" w:cs="Arial"/>
          <w:b/>
          <w:bCs/>
          <w:caps/>
          <w:color w:val="0070C0"/>
          <w:w w:val="94"/>
          <w:sz w:val="28"/>
          <w:szCs w:val="28"/>
        </w:rPr>
        <w:t xml:space="preserve">5.15 </w:t>
      </w:r>
      <w:r w:rsidRPr="00D74C83">
        <w:rPr>
          <w:rFonts w:ascii="Titillium Up" w:hAnsi="Titillium Up" w:cs="Arial"/>
          <w:b/>
          <w:bCs/>
          <w:caps/>
          <w:color w:val="0070C0"/>
          <w:w w:val="94"/>
          <w:sz w:val="28"/>
          <w:szCs w:val="28"/>
        </w:rPr>
        <w:t>Esclusione Rischio Cyber</w:t>
      </w:r>
    </w:p>
    <w:p w14:paraId="2B93AB9D" w14:textId="77777777" w:rsidR="00D74C83" w:rsidRPr="00D74C83" w:rsidRDefault="00D74C83" w:rsidP="00D74C83">
      <w:pPr>
        <w:ind w:left="426"/>
        <w:rPr>
          <w:rFonts w:ascii="Titillium Up" w:hAnsi="Titillium Up"/>
          <w:color w:val="000000"/>
          <w:sz w:val="24"/>
          <w:szCs w:val="24"/>
        </w:rPr>
      </w:pPr>
      <w:r w:rsidRPr="00D74C83">
        <w:rPr>
          <w:rFonts w:ascii="Titillium Up" w:hAnsi="Titillium Up"/>
          <w:color w:val="000000"/>
          <w:sz w:val="24"/>
          <w:szCs w:val="24"/>
        </w:rPr>
        <w:lastRenderedPageBreak/>
        <w:t>Le seguenti esclusioni si applicano a tutte le sezioni della polizza. La Compagnia non pagherà alcun reclamo o circostanza o perdita, direttamente o indirettamente, causati e / o contribuiti da o derivanti da:</w:t>
      </w:r>
    </w:p>
    <w:p w14:paraId="5B2B742F" w14:textId="77777777" w:rsidR="00D74C83" w:rsidRPr="00D74C83" w:rsidRDefault="00D74C83" w:rsidP="00537E5A">
      <w:pPr>
        <w:numPr>
          <w:ilvl w:val="1"/>
          <w:numId w:val="40"/>
        </w:numPr>
        <w:tabs>
          <w:tab w:val="left" w:pos="426"/>
        </w:tabs>
        <w:ind w:left="709" w:hanging="283"/>
        <w:jc w:val="both"/>
        <w:rPr>
          <w:rFonts w:ascii="Titillium Up" w:hAnsi="Titillium Up"/>
          <w:color w:val="000000"/>
          <w:sz w:val="24"/>
          <w:szCs w:val="24"/>
        </w:rPr>
      </w:pPr>
      <w:r w:rsidRPr="00D74C83">
        <w:rPr>
          <w:rFonts w:ascii="Titillium Up" w:hAnsi="Titillium Up"/>
          <w:color w:val="000000"/>
          <w:sz w:val="24"/>
          <w:szCs w:val="24"/>
        </w:rPr>
        <w:t>l'alterazione, la modifica, la distorsione, la corruzione o il danneggiamento di qualsiasi computer o altra apparecchiatura o componente o sistema o articolo che elabora i negozi trasmette o riceve dati o parte di essi sia tangibili o intangibili (compresi, a titolo esemplificativo ma non esaustivo, informazioni o programmi o software); o</w:t>
      </w:r>
    </w:p>
    <w:p w14:paraId="2D151A39" w14:textId="77777777" w:rsidR="00D74C83" w:rsidRPr="00D74C83" w:rsidRDefault="00D74C83" w:rsidP="00537E5A">
      <w:pPr>
        <w:numPr>
          <w:ilvl w:val="1"/>
          <w:numId w:val="40"/>
        </w:numPr>
        <w:tabs>
          <w:tab w:val="left" w:pos="426"/>
        </w:tabs>
        <w:ind w:left="709" w:hanging="283"/>
        <w:jc w:val="both"/>
        <w:rPr>
          <w:rFonts w:ascii="Titillium Up" w:hAnsi="Titillium Up"/>
          <w:color w:val="000000"/>
          <w:sz w:val="24"/>
          <w:szCs w:val="24"/>
        </w:rPr>
      </w:pPr>
      <w:r w:rsidRPr="00D74C83">
        <w:rPr>
          <w:rFonts w:ascii="Titillium Up" w:hAnsi="Titillium Up"/>
          <w:color w:val="000000"/>
          <w:sz w:val="24"/>
          <w:szCs w:val="24"/>
        </w:rPr>
        <w:t>qualsiasi modifica di alterazione, cancellazione di distorsioni, corruzione di dati elaborati da tali computer o altre apparecchiature o componenti, sistemi o articoli; o</w:t>
      </w:r>
    </w:p>
    <w:p w14:paraId="1D9BCCCF" w14:textId="77777777" w:rsidR="00D74C83" w:rsidRPr="00D74C83" w:rsidRDefault="00D74C83" w:rsidP="00537E5A">
      <w:pPr>
        <w:numPr>
          <w:ilvl w:val="1"/>
          <w:numId w:val="40"/>
        </w:numPr>
        <w:tabs>
          <w:tab w:val="left" w:pos="426"/>
        </w:tabs>
        <w:ind w:left="709" w:hanging="283"/>
        <w:jc w:val="both"/>
        <w:rPr>
          <w:rFonts w:ascii="Titillium Up" w:hAnsi="Titillium Up"/>
          <w:color w:val="000000"/>
          <w:sz w:val="24"/>
          <w:szCs w:val="24"/>
        </w:rPr>
      </w:pPr>
      <w:r w:rsidRPr="00D74C83">
        <w:rPr>
          <w:rFonts w:ascii="Titillium Up" w:hAnsi="Titillium Up"/>
          <w:color w:val="000000"/>
          <w:sz w:val="24"/>
          <w:szCs w:val="24"/>
        </w:rPr>
        <w:t>qualsiasi perdita o perdita consequenziale, indipendentemente dal fatto che la vostra proprietà sia o meno, laddove tale perdita sia direttamente o indirettamente causata da o derivante da o derivante da o causata da un virus o meccanismo simile o hacking, phishing o rifiuto di attacco di servizio;</w:t>
      </w:r>
    </w:p>
    <w:p w14:paraId="7D0CDB57" w14:textId="77777777" w:rsidR="00D74C83" w:rsidRPr="00D74C83" w:rsidRDefault="00D74C83" w:rsidP="00D74C83">
      <w:pPr>
        <w:tabs>
          <w:tab w:val="left" w:pos="426"/>
        </w:tabs>
        <w:ind w:left="426"/>
        <w:jc w:val="both"/>
        <w:rPr>
          <w:rFonts w:ascii="Titillium Up" w:hAnsi="Titillium Up"/>
          <w:color w:val="000000"/>
          <w:sz w:val="24"/>
          <w:szCs w:val="24"/>
        </w:rPr>
      </w:pPr>
    </w:p>
    <w:p w14:paraId="71479702" w14:textId="77777777" w:rsidR="00D74C83" w:rsidRPr="00D74C83" w:rsidRDefault="00D74C83" w:rsidP="00D74C83">
      <w:pPr>
        <w:tabs>
          <w:tab w:val="left" w:pos="426"/>
        </w:tabs>
        <w:ind w:left="426"/>
        <w:jc w:val="both"/>
        <w:rPr>
          <w:rFonts w:ascii="Titillium Up" w:hAnsi="Titillium Up"/>
          <w:b/>
          <w:bCs/>
          <w:color w:val="000000"/>
          <w:sz w:val="24"/>
          <w:szCs w:val="24"/>
        </w:rPr>
      </w:pPr>
      <w:r w:rsidRPr="00D74C83">
        <w:rPr>
          <w:rFonts w:ascii="Titillium Up" w:hAnsi="Titillium Up"/>
          <w:b/>
          <w:bCs/>
          <w:color w:val="000000"/>
          <w:sz w:val="24"/>
          <w:szCs w:val="24"/>
        </w:rPr>
        <w:t>Definizioni specifiche:</w:t>
      </w:r>
    </w:p>
    <w:p w14:paraId="6279120C" w14:textId="77777777" w:rsidR="00D74C83" w:rsidRPr="00D74C83" w:rsidRDefault="00D74C83" w:rsidP="00D74C83">
      <w:pPr>
        <w:tabs>
          <w:tab w:val="left" w:pos="426"/>
        </w:tabs>
        <w:ind w:left="426"/>
        <w:jc w:val="both"/>
        <w:rPr>
          <w:rFonts w:ascii="Titillium Up" w:hAnsi="Titillium Up"/>
          <w:color w:val="000000"/>
          <w:sz w:val="24"/>
          <w:szCs w:val="24"/>
        </w:rPr>
      </w:pPr>
      <w:r w:rsidRPr="00D74C83">
        <w:rPr>
          <w:rFonts w:ascii="Titillium Up" w:hAnsi="Titillium Up"/>
          <w:color w:val="000000"/>
          <w:sz w:val="24"/>
          <w:szCs w:val="24"/>
        </w:rPr>
        <w:t xml:space="preserve">Attacco </w:t>
      </w:r>
      <w:proofErr w:type="spellStart"/>
      <w:r w:rsidRPr="00D74C83">
        <w:rPr>
          <w:rFonts w:ascii="Titillium Up" w:hAnsi="Titillium Up"/>
          <w:color w:val="000000"/>
          <w:sz w:val="24"/>
          <w:szCs w:val="24"/>
        </w:rPr>
        <w:t>denial</w:t>
      </w:r>
      <w:proofErr w:type="spellEnd"/>
      <w:r w:rsidRPr="00D74C83">
        <w:rPr>
          <w:rFonts w:ascii="Titillium Up" w:hAnsi="Titillium Up"/>
          <w:color w:val="000000"/>
          <w:sz w:val="24"/>
          <w:szCs w:val="24"/>
        </w:rPr>
        <w:t xml:space="preserve"> of service: Qualsiasi azione o istruzione creata o generata con la capacità di danneggiare, interferire o influenzare in altro modo la disponibilità di reti, servizi di rete, connettività di rete o sistemi di informazione. Gli attacchi di tipo </w:t>
      </w:r>
      <w:proofErr w:type="spellStart"/>
      <w:r w:rsidRPr="00D74C83">
        <w:rPr>
          <w:rFonts w:ascii="Titillium Up" w:hAnsi="Titillium Up"/>
          <w:color w:val="000000"/>
          <w:sz w:val="24"/>
          <w:szCs w:val="24"/>
        </w:rPr>
        <w:t>Denial</w:t>
      </w:r>
      <w:proofErr w:type="spellEnd"/>
      <w:r w:rsidRPr="00D74C83">
        <w:rPr>
          <w:rFonts w:ascii="Titillium Up" w:hAnsi="Titillium Up"/>
          <w:color w:val="000000"/>
          <w:sz w:val="24"/>
          <w:szCs w:val="24"/>
        </w:rPr>
        <w:t xml:space="preserve"> of Service includono, ma non sono limitati a, la generazione di traffico in eccesso in indirizzi di rete, lo sfruttamento delle debolezze del sistema o della rete e la generazione di traffico in eccesso o non autentico tra e tra le reti.</w:t>
      </w:r>
    </w:p>
    <w:p w14:paraId="59B64CF8" w14:textId="77777777" w:rsidR="00D74C83" w:rsidRPr="00D74C83" w:rsidRDefault="00D74C83" w:rsidP="00D74C83">
      <w:pPr>
        <w:tabs>
          <w:tab w:val="left" w:pos="426"/>
        </w:tabs>
        <w:ind w:left="426"/>
        <w:jc w:val="both"/>
        <w:rPr>
          <w:rFonts w:ascii="Titillium Up" w:hAnsi="Titillium Up"/>
          <w:color w:val="000000"/>
          <w:sz w:val="24"/>
          <w:szCs w:val="24"/>
        </w:rPr>
      </w:pPr>
      <w:r w:rsidRPr="00D74C83">
        <w:rPr>
          <w:rFonts w:ascii="Titillium Up" w:hAnsi="Titillium Up"/>
          <w:color w:val="000000"/>
          <w:sz w:val="24"/>
          <w:szCs w:val="24"/>
        </w:rPr>
        <w:t xml:space="preserve"> </w:t>
      </w:r>
    </w:p>
    <w:p w14:paraId="41B3B48A" w14:textId="77777777" w:rsidR="00D74C83" w:rsidRPr="00D74C83" w:rsidRDefault="00D74C83" w:rsidP="00D74C83">
      <w:pPr>
        <w:tabs>
          <w:tab w:val="left" w:pos="426"/>
        </w:tabs>
        <w:ind w:left="426"/>
        <w:jc w:val="both"/>
        <w:rPr>
          <w:rFonts w:ascii="Titillium Up" w:hAnsi="Titillium Up"/>
          <w:color w:val="000000"/>
          <w:sz w:val="24"/>
          <w:szCs w:val="24"/>
        </w:rPr>
      </w:pPr>
      <w:r w:rsidRPr="00D74C83">
        <w:rPr>
          <w:rFonts w:ascii="Titillium Up" w:hAnsi="Titillium Up"/>
          <w:color w:val="000000"/>
          <w:sz w:val="24"/>
          <w:szCs w:val="24"/>
        </w:rPr>
        <w:t>Phishing: Qualsiasi accesso o tentativo di accesso a dati o informazioni ottenuti mediante falsa dichiarazione o inganno.</w:t>
      </w:r>
    </w:p>
    <w:p w14:paraId="2621E1EF" w14:textId="77777777" w:rsidR="00D74C83" w:rsidRPr="00D74C83" w:rsidRDefault="00D74C83" w:rsidP="00D74C83">
      <w:pPr>
        <w:tabs>
          <w:tab w:val="left" w:pos="426"/>
        </w:tabs>
        <w:ind w:left="426"/>
        <w:jc w:val="both"/>
        <w:rPr>
          <w:rFonts w:ascii="Titillium Up" w:hAnsi="Titillium Up"/>
          <w:color w:val="000000"/>
          <w:sz w:val="24"/>
          <w:szCs w:val="24"/>
        </w:rPr>
      </w:pPr>
      <w:r w:rsidRPr="00D74C83">
        <w:rPr>
          <w:rFonts w:ascii="Titillium Up" w:hAnsi="Titillium Up"/>
          <w:color w:val="000000"/>
          <w:sz w:val="24"/>
          <w:szCs w:val="24"/>
        </w:rPr>
        <w:t xml:space="preserve"> </w:t>
      </w:r>
    </w:p>
    <w:p w14:paraId="7CE55275" w14:textId="77777777" w:rsidR="00D74C83" w:rsidRPr="00D74C83" w:rsidRDefault="00D74C83" w:rsidP="00D74C83">
      <w:pPr>
        <w:tabs>
          <w:tab w:val="left" w:pos="426"/>
        </w:tabs>
        <w:ind w:left="426"/>
        <w:jc w:val="both"/>
        <w:rPr>
          <w:rFonts w:ascii="Titillium Up" w:hAnsi="Titillium Up"/>
          <w:color w:val="000000"/>
          <w:sz w:val="24"/>
          <w:szCs w:val="24"/>
        </w:rPr>
      </w:pPr>
      <w:r w:rsidRPr="00D74C83">
        <w:rPr>
          <w:rFonts w:ascii="Titillium Up" w:hAnsi="Titillium Up"/>
          <w:color w:val="000000"/>
          <w:sz w:val="24"/>
          <w:szCs w:val="24"/>
        </w:rPr>
        <w:t xml:space="preserve">Virus: o meccanismo simile Codice di programma, istruzioni di programmazione o qualsiasi insieme di istruzioni intenzionalmente costruite con la capacità di danneggiare, interferire o comunque influenzare negativamente programmi informatici, file di dati o operazioni, indipendentemente dal fatto che comportino l'auto-replica o meno. Il significato di virus o meccanismo simile include, ma non è limitato a, worm </w:t>
      </w:r>
      <w:proofErr w:type="spellStart"/>
      <w:r w:rsidRPr="00D74C83">
        <w:rPr>
          <w:rFonts w:ascii="Titillium Up" w:hAnsi="Titillium Up"/>
          <w:color w:val="000000"/>
          <w:sz w:val="24"/>
          <w:szCs w:val="24"/>
        </w:rPr>
        <w:t>di</w:t>
      </w:r>
      <w:proofErr w:type="spellEnd"/>
      <w:r w:rsidRPr="00D74C83">
        <w:rPr>
          <w:rFonts w:ascii="Titillium Up" w:hAnsi="Titillium Up"/>
          <w:color w:val="000000"/>
          <w:sz w:val="24"/>
          <w:szCs w:val="24"/>
        </w:rPr>
        <w:t xml:space="preserve"> trojan </w:t>
      </w:r>
      <w:proofErr w:type="spellStart"/>
      <w:r w:rsidRPr="00D74C83">
        <w:rPr>
          <w:rFonts w:ascii="Titillium Up" w:hAnsi="Titillium Up"/>
          <w:color w:val="000000"/>
          <w:sz w:val="24"/>
          <w:szCs w:val="24"/>
        </w:rPr>
        <w:t>horse</w:t>
      </w:r>
      <w:proofErr w:type="spellEnd"/>
      <w:r w:rsidRPr="00D74C83">
        <w:rPr>
          <w:rFonts w:ascii="Titillium Up" w:hAnsi="Titillium Up"/>
          <w:color w:val="000000"/>
          <w:sz w:val="24"/>
          <w:szCs w:val="24"/>
        </w:rPr>
        <w:t xml:space="preserve"> e bombe logiche.</w:t>
      </w:r>
    </w:p>
    <w:p w14:paraId="04993B08" w14:textId="77777777" w:rsidR="00D74C83" w:rsidRPr="00D74C83" w:rsidRDefault="00D74C83" w:rsidP="00D74C83">
      <w:pPr>
        <w:tabs>
          <w:tab w:val="left" w:pos="426"/>
        </w:tabs>
        <w:ind w:left="426"/>
        <w:jc w:val="both"/>
        <w:rPr>
          <w:rFonts w:ascii="Titillium Up" w:hAnsi="Titillium Up"/>
          <w:color w:val="000000"/>
          <w:sz w:val="24"/>
          <w:szCs w:val="24"/>
        </w:rPr>
      </w:pPr>
      <w:r w:rsidRPr="00D74C83">
        <w:rPr>
          <w:rFonts w:ascii="Titillium Up" w:hAnsi="Titillium Up"/>
          <w:color w:val="000000"/>
          <w:sz w:val="24"/>
          <w:szCs w:val="24"/>
        </w:rPr>
        <w:t xml:space="preserve"> </w:t>
      </w:r>
    </w:p>
    <w:p w14:paraId="057A645F" w14:textId="77777777" w:rsidR="00D74C83" w:rsidRPr="00D74C83" w:rsidRDefault="00D74C83" w:rsidP="00D74C83">
      <w:pPr>
        <w:tabs>
          <w:tab w:val="left" w:pos="426"/>
        </w:tabs>
        <w:ind w:left="426"/>
        <w:jc w:val="both"/>
        <w:rPr>
          <w:rFonts w:ascii="Titillium Up" w:hAnsi="Titillium Up"/>
          <w:color w:val="000000"/>
          <w:sz w:val="24"/>
          <w:szCs w:val="24"/>
        </w:rPr>
      </w:pPr>
      <w:r w:rsidRPr="00D74C83">
        <w:rPr>
          <w:rFonts w:ascii="Titillium Up" w:hAnsi="Titillium Up"/>
          <w:color w:val="000000"/>
          <w:sz w:val="24"/>
          <w:szCs w:val="24"/>
        </w:rPr>
        <w:t>Hacking: Accesso non autorizzato a qualsiasi computer o altra apparecchiatura o componente o sistema o elemento che elabora archivi o recupera dati, indipendentemente dal fatto che siano di proprietà dell'utente.</w:t>
      </w:r>
    </w:p>
    <w:p w14:paraId="43694869" w14:textId="77777777" w:rsidR="00F05BEF" w:rsidRDefault="00F05BEF" w:rsidP="00F05BEF">
      <w:pPr>
        <w:autoSpaceDE w:val="0"/>
        <w:autoSpaceDN w:val="0"/>
        <w:adjustRightInd w:val="0"/>
        <w:ind w:left="360"/>
        <w:jc w:val="both"/>
        <w:rPr>
          <w:rFonts w:ascii="Arial" w:hAnsi="Arial"/>
          <w:sz w:val="24"/>
          <w:szCs w:val="24"/>
        </w:rPr>
      </w:pPr>
    </w:p>
    <w:p w14:paraId="390BAAF4" w14:textId="77777777" w:rsidR="00F05BEF" w:rsidRPr="00512EF9" w:rsidRDefault="00C1566B"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93" w:name="_Toc531101147"/>
      <w:r>
        <w:rPr>
          <w:rFonts w:ascii="Titillium Up" w:hAnsi="Titillium Up" w:cs="Arial"/>
          <w:b/>
          <w:bCs/>
          <w:caps/>
          <w:color w:val="0070C0"/>
          <w:w w:val="94"/>
          <w:sz w:val="28"/>
          <w:szCs w:val="28"/>
        </w:rPr>
        <w:t>5</w:t>
      </w:r>
      <w:r w:rsidR="00F05BEF" w:rsidRPr="00512EF9">
        <w:rPr>
          <w:rFonts w:ascii="Titillium Up" w:hAnsi="Titillium Up" w:cs="Arial"/>
          <w:b/>
          <w:bCs/>
          <w:caps/>
          <w:color w:val="0070C0"/>
          <w:w w:val="94"/>
          <w:sz w:val="28"/>
          <w:szCs w:val="28"/>
        </w:rPr>
        <w:t>.1</w:t>
      </w:r>
      <w:r w:rsidR="00D74C83">
        <w:rPr>
          <w:rFonts w:ascii="Titillium Up" w:hAnsi="Titillium Up" w:cs="Arial"/>
          <w:b/>
          <w:bCs/>
          <w:caps/>
          <w:color w:val="0070C0"/>
          <w:w w:val="94"/>
          <w:sz w:val="28"/>
          <w:szCs w:val="28"/>
        </w:rPr>
        <w:t>6</w:t>
      </w:r>
      <w:r w:rsidR="00F05BEF" w:rsidRPr="00512EF9">
        <w:rPr>
          <w:rFonts w:ascii="Titillium Up" w:hAnsi="Titillium Up" w:cs="Arial"/>
          <w:b/>
          <w:bCs/>
          <w:caps/>
          <w:color w:val="0070C0"/>
          <w:w w:val="94"/>
          <w:sz w:val="28"/>
          <w:szCs w:val="28"/>
        </w:rPr>
        <w:t xml:space="preserve"> Diritto Dell'assicurato Al Ripensamento</w:t>
      </w:r>
      <w:bookmarkEnd w:id="93"/>
    </w:p>
    <w:p w14:paraId="0FAA1F12"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 xml:space="preserve">L'Assicurato ha facoltà di recedere dal contratto con effetto sin dall’origine comunicandolo ad: AMINTA  S.r.l. Corso Correnti 58/A 10136 TORINO, mediante lettera raccomandata entro 14 giorni dalla data di adesione, via pec all’indirizzo </w:t>
      </w:r>
      <w:r w:rsidRPr="00D04AFA">
        <w:rPr>
          <w:rFonts w:ascii="Titillium Up" w:hAnsi="Titillium Up"/>
          <w:b/>
          <w:iCs/>
          <w:sz w:val="24"/>
          <w:szCs w:val="24"/>
        </w:rPr>
        <w:t>direzione@pec.amintabroker.com</w:t>
      </w:r>
      <w:r w:rsidRPr="00D04AFA">
        <w:rPr>
          <w:rFonts w:ascii="Titillium Up" w:hAnsi="Titillium Up"/>
          <w:bCs/>
          <w:iCs/>
          <w:sz w:val="24"/>
          <w:szCs w:val="24"/>
        </w:rPr>
        <w:t>, via fax al numero 011.3299805, sempre che entro questo termine non si sia verificato un sinistro, ricevendo il rimborso del premio versato. </w:t>
      </w:r>
    </w:p>
    <w:p w14:paraId="0C76B382"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p>
    <w:p w14:paraId="40D13E05" w14:textId="77777777" w:rsidR="00F05BEF" w:rsidRPr="00D04AFA" w:rsidRDefault="00F05BEF" w:rsidP="00D04AFA">
      <w:pPr>
        <w:tabs>
          <w:tab w:val="left" w:pos="426"/>
        </w:tabs>
        <w:autoSpaceDE w:val="0"/>
        <w:autoSpaceDN w:val="0"/>
        <w:adjustRightInd w:val="0"/>
        <w:ind w:left="426"/>
        <w:jc w:val="both"/>
        <w:rPr>
          <w:rFonts w:ascii="Titillium Up" w:hAnsi="Titillium Up"/>
          <w:b/>
          <w:iCs/>
          <w:sz w:val="24"/>
          <w:szCs w:val="24"/>
        </w:rPr>
      </w:pPr>
      <w:r w:rsidRPr="00D04AFA">
        <w:rPr>
          <w:rFonts w:ascii="Titillium Up" w:hAnsi="Titillium Up"/>
          <w:bCs/>
          <w:iCs/>
          <w:sz w:val="24"/>
          <w:szCs w:val="24"/>
        </w:rPr>
        <w:t xml:space="preserve">                                  </w:t>
      </w:r>
      <w:r w:rsidR="00D04AFA">
        <w:rPr>
          <w:rFonts w:ascii="Titillium Up" w:hAnsi="Titillium Up"/>
          <w:bCs/>
          <w:iCs/>
          <w:sz w:val="24"/>
          <w:szCs w:val="24"/>
        </w:rPr>
        <w:tab/>
      </w:r>
      <w:r w:rsidR="00D04AFA">
        <w:rPr>
          <w:rFonts w:ascii="Titillium Up" w:hAnsi="Titillium Up"/>
          <w:bCs/>
          <w:iCs/>
          <w:sz w:val="24"/>
          <w:szCs w:val="24"/>
        </w:rPr>
        <w:tab/>
      </w:r>
      <w:r w:rsidR="00D04AFA">
        <w:rPr>
          <w:rFonts w:ascii="Titillium Up" w:hAnsi="Titillium Up"/>
          <w:bCs/>
          <w:iCs/>
          <w:sz w:val="24"/>
          <w:szCs w:val="24"/>
        </w:rPr>
        <w:tab/>
      </w:r>
      <w:r w:rsidR="00D04AFA">
        <w:rPr>
          <w:rFonts w:ascii="Titillium Up" w:hAnsi="Titillium Up"/>
          <w:bCs/>
          <w:iCs/>
          <w:sz w:val="24"/>
          <w:szCs w:val="24"/>
        </w:rPr>
        <w:tab/>
      </w:r>
      <w:r w:rsidR="00D04AFA">
        <w:rPr>
          <w:rFonts w:ascii="Titillium Up" w:hAnsi="Titillium Up"/>
          <w:bCs/>
          <w:iCs/>
          <w:sz w:val="24"/>
          <w:szCs w:val="24"/>
        </w:rPr>
        <w:tab/>
      </w:r>
      <w:r w:rsidR="00D04AFA">
        <w:rPr>
          <w:rFonts w:ascii="Titillium Up" w:hAnsi="Titillium Up"/>
          <w:bCs/>
          <w:iCs/>
          <w:sz w:val="24"/>
          <w:szCs w:val="24"/>
        </w:rPr>
        <w:tab/>
      </w:r>
      <w:r w:rsidR="00D04AFA">
        <w:rPr>
          <w:rFonts w:ascii="Titillium Up" w:hAnsi="Titillium Up"/>
          <w:bCs/>
          <w:iCs/>
          <w:sz w:val="24"/>
          <w:szCs w:val="24"/>
        </w:rPr>
        <w:tab/>
      </w:r>
      <w:r w:rsidRPr="00D04AFA">
        <w:rPr>
          <w:rFonts w:ascii="Titillium Up" w:hAnsi="Titillium Up"/>
          <w:b/>
          <w:iCs/>
          <w:sz w:val="24"/>
          <w:szCs w:val="24"/>
        </w:rPr>
        <w:t xml:space="preserve">  IL CONTRAENTE</w:t>
      </w:r>
    </w:p>
    <w:p w14:paraId="36451DB5"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p>
    <w:p w14:paraId="14918512"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p>
    <w:p w14:paraId="2DAAAEA0" w14:textId="77777777" w:rsidR="00F05BEF" w:rsidRDefault="00F05BEF" w:rsidP="00F05BEF">
      <w:pPr>
        <w:autoSpaceDE w:val="0"/>
        <w:autoSpaceDN w:val="0"/>
        <w:adjustRightInd w:val="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Pr>
          <w:rFonts w:ascii="Arial" w:hAnsi="Arial"/>
          <w:sz w:val="24"/>
          <w:szCs w:val="24"/>
        </w:rPr>
        <w:softHyphen/>
      </w:r>
      <w:r>
        <w:rPr>
          <w:rFonts w:ascii="Arial" w:hAnsi="Arial"/>
          <w:sz w:val="24"/>
          <w:szCs w:val="24"/>
        </w:rPr>
        <w:softHyphen/>
      </w:r>
      <w:r>
        <w:rPr>
          <w:rFonts w:ascii="Arial" w:hAnsi="Arial"/>
          <w:sz w:val="24"/>
          <w:szCs w:val="24"/>
        </w:rPr>
        <w:softHyphen/>
      </w:r>
      <w:r>
        <w:rPr>
          <w:rFonts w:ascii="Arial" w:hAnsi="Arial"/>
          <w:sz w:val="24"/>
          <w:szCs w:val="24"/>
        </w:rPr>
        <w:softHyphen/>
      </w:r>
      <w:r>
        <w:rPr>
          <w:rFonts w:ascii="Arial" w:hAnsi="Arial"/>
          <w:sz w:val="24"/>
          <w:szCs w:val="24"/>
        </w:rPr>
        <w:softHyphen/>
      </w:r>
      <w:r>
        <w:rPr>
          <w:rFonts w:ascii="Arial" w:hAnsi="Arial"/>
          <w:sz w:val="24"/>
          <w:szCs w:val="24"/>
        </w:rPr>
        <w:softHyphen/>
      </w:r>
      <w:r>
        <w:rPr>
          <w:rFonts w:ascii="Arial" w:hAnsi="Arial"/>
          <w:sz w:val="24"/>
          <w:szCs w:val="24"/>
        </w:rPr>
        <w:softHyphen/>
      </w:r>
      <w:r>
        <w:rPr>
          <w:rFonts w:ascii="Arial" w:hAnsi="Arial"/>
          <w:sz w:val="24"/>
          <w:szCs w:val="24"/>
        </w:rPr>
        <w:softHyphen/>
      </w:r>
      <w:r>
        <w:rPr>
          <w:rFonts w:ascii="Arial" w:hAnsi="Arial"/>
          <w:sz w:val="24"/>
          <w:szCs w:val="24"/>
        </w:rPr>
        <w:softHyphen/>
      </w:r>
      <w:r>
        <w:rPr>
          <w:rFonts w:ascii="Arial" w:hAnsi="Arial"/>
          <w:sz w:val="24"/>
          <w:szCs w:val="24"/>
        </w:rPr>
        <w:softHyphen/>
      </w:r>
      <w:r>
        <w:rPr>
          <w:rFonts w:ascii="Arial" w:hAnsi="Arial"/>
          <w:sz w:val="24"/>
          <w:szCs w:val="24"/>
        </w:rPr>
        <w:softHyphen/>
      </w:r>
      <w:r>
        <w:rPr>
          <w:rFonts w:ascii="Arial" w:hAnsi="Arial"/>
          <w:sz w:val="24"/>
          <w:szCs w:val="24"/>
        </w:rPr>
        <w:softHyphen/>
      </w:r>
      <w:r>
        <w:rPr>
          <w:rFonts w:ascii="Arial" w:hAnsi="Arial"/>
          <w:sz w:val="24"/>
          <w:szCs w:val="24"/>
        </w:rPr>
        <w:softHyphen/>
      </w:r>
      <w:r>
        <w:rPr>
          <w:rFonts w:ascii="Arial" w:hAnsi="Arial"/>
          <w:sz w:val="24"/>
          <w:szCs w:val="24"/>
        </w:rPr>
        <w:softHyphen/>
        <w:t>------------------------------------</w:t>
      </w:r>
    </w:p>
    <w:p w14:paraId="07F9F49D" w14:textId="77777777" w:rsidR="00F05BEF" w:rsidRDefault="00F05BEF" w:rsidP="00F05BEF">
      <w:pPr>
        <w:autoSpaceDE w:val="0"/>
        <w:autoSpaceDN w:val="0"/>
        <w:adjustRightInd w:val="0"/>
        <w:jc w:val="both"/>
        <w:rPr>
          <w:rFonts w:ascii="Arial" w:hAnsi="Arial"/>
          <w:sz w:val="24"/>
          <w:szCs w:val="24"/>
        </w:rPr>
      </w:pPr>
    </w:p>
    <w:p w14:paraId="1B29DF43" w14:textId="77777777" w:rsidR="00F05BEF" w:rsidRDefault="00F05BEF" w:rsidP="00F05BEF">
      <w:pPr>
        <w:tabs>
          <w:tab w:val="left" w:pos="2124"/>
        </w:tabs>
        <w:autoSpaceDE w:val="0"/>
        <w:autoSpaceDN w:val="0"/>
        <w:adjustRightInd w:val="0"/>
        <w:jc w:val="both"/>
        <w:rPr>
          <w:rFonts w:ascii="Arial" w:hAnsi="Arial"/>
          <w:sz w:val="24"/>
          <w:szCs w:val="24"/>
        </w:rPr>
      </w:pPr>
    </w:p>
    <w:p w14:paraId="3066D7F8" w14:textId="77777777" w:rsidR="00F05BEF" w:rsidRDefault="00F05BEF" w:rsidP="00F05BEF">
      <w:pPr>
        <w:tabs>
          <w:tab w:val="left" w:pos="2124"/>
        </w:tabs>
        <w:autoSpaceDE w:val="0"/>
        <w:autoSpaceDN w:val="0"/>
        <w:adjustRightInd w:val="0"/>
        <w:jc w:val="both"/>
        <w:rPr>
          <w:rFonts w:ascii="Arial" w:hAnsi="Arial"/>
          <w:sz w:val="24"/>
          <w:szCs w:val="24"/>
        </w:rPr>
      </w:pPr>
    </w:p>
    <w:p w14:paraId="74781BA2" w14:textId="77777777" w:rsidR="00F05BEF" w:rsidRDefault="00F05BEF" w:rsidP="00F05BEF">
      <w:pPr>
        <w:tabs>
          <w:tab w:val="left" w:pos="2124"/>
        </w:tabs>
        <w:autoSpaceDE w:val="0"/>
        <w:autoSpaceDN w:val="0"/>
        <w:adjustRightInd w:val="0"/>
        <w:jc w:val="both"/>
        <w:rPr>
          <w:rFonts w:ascii="Arial" w:hAnsi="Arial"/>
          <w:sz w:val="24"/>
          <w:szCs w:val="24"/>
        </w:rPr>
      </w:pPr>
    </w:p>
    <w:p w14:paraId="3EC90E30" w14:textId="77777777" w:rsidR="00F05BEF" w:rsidRP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 xml:space="preserve">Il Contraente dichiara inoltre di aver ricevuto, prima della sottoscrizione della polizza, mediante apposito stampato, </w:t>
      </w:r>
      <w:r w:rsidR="00F852E7">
        <w:rPr>
          <w:rFonts w:ascii="Titillium Up" w:hAnsi="Titillium Up"/>
          <w:bCs/>
          <w:iCs/>
          <w:sz w:val="24"/>
          <w:szCs w:val="24"/>
        </w:rPr>
        <w:t>il set informativo</w:t>
      </w:r>
      <w:r w:rsidRPr="00D04AFA">
        <w:rPr>
          <w:rFonts w:ascii="Titillium Up" w:hAnsi="Titillium Up"/>
          <w:bCs/>
          <w:iCs/>
          <w:sz w:val="24"/>
          <w:szCs w:val="24"/>
        </w:rPr>
        <w:t xml:space="preserve"> in merito a tutto quanto sopra elencato, di cui all’art. 123 D. Lgs. 17/03/1995 n. 175, e l’informativa sull’utilizzazione dei dati personali ai sensi del </w:t>
      </w:r>
      <w:proofErr w:type="spellStart"/>
      <w:r w:rsidRPr="00D04AFA">
        <w:rPr>
          <w:rFonts w:ascii="Titillium Up" w:hAnsi="Titillium Up"/>
          <w:bCs/>
          <w:iCs/>
          <w:sz w:val="24"/>
          <w:szCs w:val="24"/>
        </w:rPr>
        <w:t>D.Lgs</w:t>
      </w:r>
      <w:proofErr w:type="spellEnd"/>
      <w:r w:rsidRPr="00D04AFA">
        <w:rPr>
          <w:rFonts w:ascii="Titillium Up" w:hAnsi="Titillium Up"/>
          <w:bCs/>
          <w:iCs/>
          <w:sz w:val="24"/>
          <w:szCs w:val="24"/>
        </w:rPr>
        <w:t xml:space="preserve"> n. 196/2003. Il Contraente dichiara inoltre di aver verificato le condizioni contrattuali e di averle trovate consone alle proprie aspettative in relazione alle condizioni assicurative reperibili sul mercato.</w:t>
      </w:r>
    </w:p>
    <w:p w14:paraId="4232167D" w14:textId="77777777" w:rsidR="00D04AFA" w:rsidRDefault="00F05BEF" w:rsidP="00D04AFA">
      <w:pPr>
        <w:tabs>
          <w:tab w:val="left" w:pos="426"/>
        </w:tabs>
        <w:autoSpaceDE w:val="0"/>
        <w:autoSpaceDN w:val="0"/>
        <w:adjustRightInd w:val="0"/>
        <w:ind w:left="426"/>
        <w:jc w:val="both"/>
        <w:rPr>
          <w:rFonts w:ascii="Titillium Up" w:hAnsi="Titillium Up"/>
          <w:bCs/>
          <w:iCs/>
          <w:sz w:val="24"/>
          <w:szCs w:val="24"/>
        </w:rPr>
      </w:pPr>
      <w:r w:rsidRPr="00D04AFA">
        <w:rPr>
          <w:rFonts w:ascii="Titillium Up" w:hAnsi="Titillium Up"/>
          <w:bCs/>
          <w:iCs/>
          <w:sz w:val="24"/>
          <w:szCs w:val="24"/>
        </w:rPr>
        <w:tab/>
      </w:r>
      <w:r w:rsidRPr="00D04AFA">
        <w:rPr>
          <w:rFonts w:ascii="Titillium Up" w:hAnsi="Titillium Up"/>
          <w:bCs/>
          <w:iCs/>
          <w:sz w:val="24"/>
          <w:szCs w:val="24"/>
        </w:rPr>
        <w:tab/>
      </w:r>
      <w:r w:rsidRPr="00D04AFA">
        <w:rPr>
          <w:rFonts w:ascii="Titillium Up" w:hAnsi="Titillium Up"/>
          <w:bCs/>
          <w:iCs/>
          <w:sz w:val="24"/>
          <w:szCs w:val="24"/>
        </w:rPr>
        <w:tab/>
      </w:r>
      <w:r w:rsidRPr="00D04AFA">
        <w:rPr>
          <w:rFonts w:ascii="Titillium Up" w:hAnsi="Titillium Up"/>
          <w:bCs/>
          <w:iCs/>
          <w:sz w:val="24"/>
          <w:szCs w:val="24"/>
        </w:rPr>
        <w:tab/>
      </w:r>
      <w:r w:rsidRPr="00D04AFA">
        <w:rPr>
          <w:rFonts w:ascii="Titillium Up" w:hAnsi="Titillium Up"/>
          <w:bCs/>
          <w:iCs/>
          <w:sz w:val="24"/>
          <w:szCs w:val="24"/>
        </w:rPr>
        <w:tab/>
      </w:r>
      <w:r w:rsidRPr="00D04AFA">
        <w:rPr>
          <w:rFonts w:ascii="Titillium Up" w:hAnsi="Titillium Up"/>
          <w:bCs/>
          <w:iCs/>
          <w:sz w:val="24"/>
          <w:szCs w:val="24"/>
        </w:rPr>
        <w:tab/>
      </w:r>
      <w:r w:rsidRPr="00D04AFA">
        <w:rPr>
          <w:rFonts w:ascii="Titillium Up" w:hAnsi="Titillium Up"/>
          <w:bCs/>
          <w:iCs/>
          <w:sz w:val="24"/>
          <w:szCs w:val="24"/>
        </w:rPr>
        <w:tab/>
      </w:r>
      <w:r w:rsidRPr="00D04AFA">
        <w:rPr>
          <w:rFonts w:ascii="Titillium Up" w:hAnsi="Titillium Up"/>
          <w:bCs/>
          <w:iCs/>
          <w:sz w:val="24"/>
          <w:szCs w:val="24"/>
        </w:rPr>
        <w:tab/>
      </w:r>
      <w:r w:rsidRPr="00D04AFA">
        <w:rPr>
          <w:rFonts w:ascii="Titillium Up" w:hAnsi="Titillium Up"/>
          <w:bCs/>
          <w:iCs/>
          <w:sz w:val="24"/>
          <w:szCs w:val="24"/>
        </w:rPr>
        <w:tab/>
        <w:t xml:space="preserve">       </w:t>
      </w:r>
    </w:p>
    <w:p w14:paraId="16958517" w14:textId="77777777" w:rsidR="00F05BEF" w:rsidRPr="00D04AFA" w:rsidRDefault="00D04AFA" w:rsidP="00D04AFA">
      <w:pPr>
        <w:tabs>
          <w:tab w:val="left" w:pos="426"/>
        </w:tabs>
        <w:autoSpaceDE w:val="0"/>
        <w:autoSpaceDN w:val="0"/>
        <w:adjustRightInd w:val="0"/>
        <w:ind w:left="426"/>
        <w:jc w:val="both"/>
        <w:rPr>
          <w:rFonts w:ascii="Titillium Up" w:hAnsi="Titillium Up"/>
          <w:b/>
          <w:iCs/>
          <w:sz w:val="24"/>
          <w:szCs w:val="24"/>
        </w:rPr>
      </w:pPr>
      <w:r>
        <w:rPr>
          <w:rFonts w:ascii="Titillium Up" w:hAnsi="Titillium Up"/>
          <w:bCs/>
          <w:iCs/>
          <w:sz w:val="24"/>
          <w:szCs w:val="24"/>
        </w:rPr>
        <w:tab/>
      </w:r>
      <w:r>
        <w:rPr>
          <w:rFonts w:ascii="Titillium Up" w:hAnsi="Titillium Up"/>
          <w:bCs/>
          <w:iCs/>
          <w:sz w:val="24"/>
          <w:szCs w:val="24"/>
        </w:rPr>
        <w:tab/>
      </w:r>
      <w:r>
        <w:rPr>
          <w:rFonts w:ascii="Titillium Up" w:hAnsi="Titillium Up"/>
          <w:bCs/>
          <w:iCs/>
          <w:sz w:val="24"/>
          <w:szCs w:val="24"/>
        </w:rPr>
        <w:tab/>
      </w:r>
      <w:r>
        <w:rPr>
          <w:rFonts w:ascii="Titillium Up" w:hAnsi="Titillium Up"/>
          <w:bCs/>
          <w:iCs/>
          <w:sz w:val="24"/>
          <w:szCs w:val="24"/>
        </w:rPr>
        <w:tab/>
      </w:r>
      <w:r>
        <w:rPr>
          <w:rFonts w:ascii="Titillium Up" w:hAnsi="Titillium Up"/>
          <w:bCs/>
          <w:iCs/>
          <w:sz w:val="24"/>
          <w:szCs w:val="24"/>
        </w:rPr>
        <w:tab/>
      </w:r>
      <w:r>
        <w:rPr>
          <w:rFonts w:ascii="Titillium Up" w:hAnsi="Titillium Up"/>
          <w:bCs/>
          <w:iCs/>
          <w:sz w:val="24"/>
          <w:szCs w:val="24"/>
        </w:rPr>
        <w:tab/>
      </w:r>
      <w:r>
        <w:rPr>
          <w:rFonts w:ascii="Titillium Up" w:hAnsi="Titillium Up"/>
          <w:bCs/>
          <w:iCs/>
          <w:sz w:val="24"/>
          <w:szCs w:val="24"/>
        </w:rPr>
        <w:tab/>
      </w:r>
      <w:r>
        <w:rPr>
          <w:rFonts w:ascii="Titillium Up" w:hAnsi="Titillium Up"/>
          <w:bCs/>
          <w:iCs/>
          <w:sz w:val="24"/>
          <w:szCs w:val="24"/>
        </w:rPr>
        <w:tab/>
      </w:r>
      <w:r>
        <w:rPr>
          <w:rFonts w:ascii="Titillium Up" w:hAnsi="Titillium Up"/>
          <w:bCs/>
          <w:iCs/>
          <w:sz w:val="24"/>
          <w:szCs w:val="24"/>
        </w:rPr>
        <w:tab/>
      </w:r>
      <w:r>
        <w:rPr>
          <w:rFonts w:ascii="Titillium Up" w:hAnsi="Titillium Up"/>
          <w:bCs/>
          <w:iCs/>
          <w:sz w:val="24"/>
          <w:szCs w:val="24"/>
        </w:rPr>
        <w:tab/>
      </w:r>
      <w:r w:rsidR="00F05BEF" w:rsidRPr="00D04AFA">
        <w:rPr>
          <w:rFonts w:ascii="Titillium Up" w:hAnsi="Titillium Up"/>
          <w:b/>
          <w:iCs/>
          <w:sz w:val="24"/>
          <w:szCs w:val="24"/>
        </w:rPr>
        <w:t xml:space="preserve"> IL CONTRAENTE</w:t>
      </w:r>
    </w:p>
    <w:p w14:paraId="011F885E" w14:textId="77777777" w:rsidR="004A3292" w:rsidRPr="00C04E56" w:rsidRDefault="004A3292" w:rsidP="004A3292">
      <w:pPr>
        <w:pStyle w:val="Testonormale"/>
        <w:spacing w:line="360" w:lineRule="auto"/>
        <w:ind w:left="360"/>
        <w:jc w:val="both"/>
        <w:rPr>
          <w:rFonts w:ascii="Titillium Up" w:hAnsi="Titillium Up" w:cs="Arial"/>
          <w:b/>
          <w:color w:val="1F497D"/>
        </w:rPr>
      </w:pPr>
    </w:p>
    <w:sectPr w:rsidR="004A3292" w:rsidRPr="00C04E56" w:rsidSect="002A742E">
      <w:headerReference w:type="default" r:id="rId22"/>
      <w:footerReference w:type="default" r:id="rId23"/>
      <w:pgSz w:w="11906" w:h="16838" w:code="9"/>
      <w:pgMar w:top="567" w:right="849" w:bottom="567" w:left="567" w:header="425" w:footer="159" w:gutter="0"/>
      <w:cols w:space="720" w:equalWidth="0">
        <w:col w:w="104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ECF4" w14:textId="77777777" w:rsidR="00C647F1" w:rsidRDefault="00C647F1">
      <w:r>
        <w:separator/>
      </w:r>
    </w:p>
  </w:endnote>
  <w:endnote w:type="continuationSeparator" w:id="0">
    <w:p w14:paraId="5C10B1FE" w14:textId="77777777" w:rsidR="00C647F1" w:rsidRDefault="00C6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tillium Up">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charset w:val="00"/>
    <w:family w:val="roman"/>
    <w:pitch w:val="variable"/>
    <w:sig w:usb0="00000003" w:usb1="00000000" w:usb2="00000000" w:usb3="00000000" w:csb0="00000001" w:csb1="00000000"/>
  </w:font>
  <w:font w:name="Imago Light">
    <w:altName w:val="Times New Roman"/>
    <w:charset w:val="4D"/>
    <w:family w:val="roman"/>
    <w:pitch w:val="variable"/>
  </w:font>
  <w:font w:name="MinionPro-Regular">
    <w:altName w:val="Calibri"/>
    <w:panose1 w:val="00000000000000000000"/>
    <w:charset w:val="4D"/>
    <w:family w:val="auto"/>
    <w:notTrueType/>
    <w:pitch w:val="default"/>
    <w:sig w:usb0="00000003" w:usb1="00000000" w:usb2="00000000" w:usb3="00000000" w:csb0="00000001" w:csb1="00000000"/>
  </w:font>
  <w:font w:name="ZapfDingbats">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tillium-BoldUpright">
    <w:altName w:val="Courier New"/>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DC28" w14:textId="77777777" w:rsidR="008463E3" w:rsidRDefault="008463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1627" w14:textId="77777777" w:rsidR="00B7258D" w:rsidRDefault="00B7258D">
    <w:pPr>
      <w:pStyle w:val="Pidipagina"/>
    </w:pPr>
  </w:p>
  <w:tbl>
    <w:tblPr>
      <w:tblW w:w="5000" w:type="pct"/>
      <w:tblBorders>
        <w:top w:val="single" w:sz="4" w:space="0" w:color="E6BA3E"/>
      </w:tblBorders>
      <w:tblLook w:val="04A0" w:firstRow="1" w:lastRow="0" w:firstColumn="1" w:lastColumn="0" w:noHBand="0" w:noVBand="1"/>
    </w:tblPr>
    <w:tblGrid>
      <w:gridCol w:w="10489"/>
    </w:tblGrid>
    <w:tr w:rsidR="00B7258D" w14:paraId="1404D747" w14:textId="77777777" w:rsidTr="00BD65DF">
      <w:tc>
        <w:tcPr>
          <w:tcW w:w="5000" w:type="pct"/>
        </w:tcPr>
        <w:p w14:paraId="24B7D459" w14:textId="77777777" w:rsidR="00B7258D" w:rsidRDefault="00B7258D" w:rsidP="002A742E"/>
        <w:tbl>
          <w:tblPr>
            <w:tblW w:w="10485" w:type="dxa"/>
            <w:tblLook w:val="04A0" w:firstRow="1" w:lastRow="0" w:firstColumn="1" w:lastColumn="0" w:noHBand="0" w:noVBand="1"/>
          </w:tblPr>
          <w:tblGrid>
            <w:gridCol w:w="1135"/>
            <w:gridCol w:w="8648"/>
            <w:gridCol w:w="702"/>
          </w:tblGrid>
          <w:tr w:rsidR="00B7258D" w14:paraId="0DC4207C" w14:textId="77777777" w:rsidTr="00BD65DF">
            <w:trPr>
              <w:trHeight w:val="134"/>
            </w:trPr>
            <w:tc>
              <w:tcPr>
                <w:tcW w:w="541" w:type="pct"/>
                <w:vAlign w:val="center"/>
              </w:tcPr>
              <w:p w14:paraId="3B5A2FAD" w14:textId="77777777" w:rsidR="00B7258D" w:rsidRPr="00937ECF" w:rsidRDefault="00B7258D" w:rsidP="002A742E">
                <w:pPr>
                  <w:pStyle w:val="Intestazione"/>
                </w:pPr>
                <w:r w:rsidRPr="00937ECF">
                  <w:fldChar w:fldCharType="begin"/>
                </w:r>
                <w:r w:rsidRPr="00937ECF">
                  <w:instrText xml:space="preserve"> PAGE   \* MERGEFORMAT </w:instrText>
                </w:r>
                <w:r w:rsidRPr="00937ECF">
                  <w:fldChar w:fldCharType="separate"/>
                </w:r>
                <w:r>
                  <w:t>2</w:t>
                </w:r>
                <w:r w:rsidRPr="00937ECF">
                  <w:fldChar w:fldCharType="end"/>
                </w:r>
                <w:r w:rsidRPr="00937ECF">
                  <w:t xml:space="preserve"> di </w:t>
                </w:r>
                <w:r>
                  <w:t>1</w:t>
                </w:r>
                <w:r w:rsidR="0043213A">
                  <w:t>7</w:t>
                </w:r>
              </w:p>
              <w:p w14:paraId="0DE3D56B" w14:textId="77777777" w:rsidR="00B7258D" w:rsidRPr="00937ECF" w:rsidRDefault="00B7258D" w:rsidP="002A742E">
                <w:pPr>
                  <w:rPr>
                    <w:rFonts w:ascii="Calibri" w:hAnsi="Calibri"/>
                    <w:sz w:val="24"/>
                    <w:szCs w:val="28"/>
                  </w:rPr>
                </w:pPr>
              </w:p>
            </w:tc>
            <w:tc>
              <w:tcPr>
                <w:tcW w:w="4124" w:type="pct"/>
                <w:vAlign w:val="center"/>
              </w:tcPr>
              <w:p w14:paraId="787F2DFA" w14:textId="77777777" w:rsidR="00B7258D" w:rsidRPr="00937ECF" w:rsidRDefault="00B7258D" w:rsidP="002A742E">
                <w:pPr>
                  <w:pStyle w:val="Pidipagina"/>
                </w:pPr>
                <w:r w:rsidRPr="00937ECF">
                  <w:rPr>
                    <w:rFonts w:ascii="Arial Narrow" w:hAnsi="Arial Narrow"/>
                    <w:sz w:val="14"/>
                  </w:rPr>
                  <w:t>Società Reale Mutua di Assicurazioni - Fondata nel 1828 - Sede Legale e Direzione Generale: Via Corte d’Appello 11, 10122 Torino (Italia) - tel. +39 0114 311 111 - fax +39 0114 350 966 – realemutua@pec.realemutua.it. - www.realemutua.it – Servizio Buongiorno Reale N. Verde 800-320320 – buongiornoreale@realemutua.it -  Registro Imprese Torino, Codice Fiscale e N. Partita IVA 00875360018 - R.E.A. Torino N. 9806 - Iscritta al numero 1.00001 dell’Albo delle Imprese di assicurazione e riassicurazione – Capogruppo del Gruppo assicurativo Reale Mutua, iscritto all’Albo dei gruppi assicurativi</w:t>
                </w:r>
              </w:p>
            </w:tc>
            <w:tc>
              <w:tcPr>
                <w:tcW w:w="335" w:type="pct"/>
                <w:vAlign w:val="center"/>
              </w:tcPr>
              <w:p w14:paraId="4213D44B" w14:textId="77777777" w:rsidR="00B7258D" w:rsidRDefault="00F75DF4" w:rsidP="002A742E">
                <w:pPr>
                  <w:pStyle w:val="Pidipagina"/>
                  <w:jc w:val="right"/>
                </w:pPr>
                <w:r w:rsidRPr="00937ECF">
                  <w:rPr>
                    <w:noProof/>
                  </w:rPr>
                  <w:drawing>
                    <wp:inline distT="0" distB="0" distL="0" distR="0" wp14:anchorId="44361EEC" wp14:editId="6B4D11F5">
                      <wp:extent cx="260350" cy="285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10931" t="51692" r="83952" b="40759"/>
                              <a:stretch>
                                <a:fillRect/>
                              </a:stretch>
                            </pic:blipFill>
                            <pic:spPr bwMode="auto">
                              <a:xfrm>
                                <a:off x="0" y="0"/>
                                <a:ext cx="260350" cy="285750"/>
                              </a:xfrm>
                              <a:prstGeom prst="rect">
                                <a:avLst/>
                              </a:prstGeom>
                              <a:noFill/>
                              <a:ln>
                                <a:noFill/>
                              </a:ln>
                            </pic:spPr>
                          </pic:pic>
                        </a:graphicData>
                      </a:graphic>
                    </wp:inline>
                  </w:drawing>
                </w:r>
              </w:p>
            </w:tc>
          </w:tr>
        </w:tbl>
        <w:p w14:paraId="381EE35A" w14:textId="77777777" w:rsidR="00B7258D" w:rsidRDefault="00B7258D" w:rsidP="002A742E">
          <w:pPr>
            <w:jc w:val="center"/>
          </w:pPr>
        </w:p>
      </w:tc>
    </w:tr>
  </w:tbl>
  <w:p w14:paraId="18C381A2" w14:textId="77777777" w:rsidR="00B7258D" w:rsidRDefault="00B7258D" w:rsidP="002A742E">
    <w:pPr>
      <w:rPr>
        <w:rFonts w:ascii="Arial Narrow" w:hAnsi="Arial Narrow"/>
        <w:sz w:val="14"/>
      </w:rPr>
    </w:pPr>
  </w:p>
  <w:p w14:paraId="1F50D83B" w14:textId="77777777" w:rsidR="00B7258D" w:rsidRDefault="00B7258D" w:rsidP="002A742E">
    <w:pPr>
      <w:jc w:val="center"/>
    </w:pPr>
    <w:r w:rsidRPr="004233DF">
      <w:object w:dxaOrig="621" w:dyaOrig="621" w14:anchorId="06B6D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2" o:title=""/>
        </v:shape>
        <o:OLEObject Type="Embed" ProgID="Word.Picture.8" ShapeID="_x0000_i1025" DrawAspect="Content" ObjectID="_1697633939" r:id="rId3"/>
      </w:object>
    </w:r>
  </w:p>
  <w:p w14:paraId="7B8401A2" w14:textId="77777777" w:rsidR="00B7258D" w:rsidRDefault="00B7258D">
    <w:pPr>
      <w:pStyle w:val="Pidipagina"/>
    </w:pPr>
  </w:p>
  <w:p w14:paraId="123F9885" w14:textId="77777777" w:rsidR="00B7258D" w:rsidRDefault="00B7258D" w:rsidP="00B04928">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EBE1" w14:textId="77777777" w:rsidR="008463E3" w:rsidRDefault="008463E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E6BA3E"/>
      </w:tblBorders>
      <w:tblLook w:val="04A0" w:firstRow="1" w:lastRow="0" w:firstColumn="1" w:lastColumn="0" w:noHBand="0" w:noVBand="1"/>
    </w:tblPr>
    <w:tblGrid>
      <w:gridCol w:w="10490"/>
    </w:tblGrid>
    <w:tr w:rsidR="00B7258D" w14:paraId="69CB2847" w14:textId="77777777" w:rsidTr="00364692">
      <w:tc>
        <w:tcPr>
          <w:tcW w:w="5000" w:type="pct"/>
        </w:tcPr>
        <w:p w14:paraId="541A54FB" w14:textId="77777777" w:rsidR="00B7258D" w:rsidRDefault="00B7258D" w:rsidP="00364692"/>
        <w:tbl>
          <w:tblPr>
            <w:tblW w:w="10485" w:type="dxa"/>
            <w:tblLook w:val="04A0" w:firstRow="1" w:lastRow="0" w:firstColumn="1" w:lastColumn="0" w:noHBand="0" w:noVBand="1"/>
          </w:tblPr>
          <w:tblGrid>
            <w:gridCol w:w="1135"/>
            <w:gridCol w:w="8648"/>
            <w:gridCol w:w="702"/>
          </w:tblGrid>
          <w:tr w:rsidR="00B7258D" w14:paraId="47C74F1C" w14:textId="77777777" w:rsidTr="00364692">
            <w:trPr>
              <w:trHeight w:val="134"/>
            </w:trPr>
            <w:tc>
              <w:tcPr>
                <w:tcW w:w="541" w:type="pct"/>
                <w:vAlign w:val="center"/>
              </w:tcPr>
              <w:p w14:paraId="113AF94D" w14:textId="77777777" w:rsidR="00B7258D" w:rsidRPr="00B04928" w:rsidRDefault="00B7258D" w:rsidP="00364692">
                <w:pPr>
                  <w:pStyle w:val="Intestazione"/>
                </w:pPr>
                <w:r w:rsidRPr="00B04928">
                  <w:fldChar w:fldCharType="begin"/>
                </w:r>
                <w:r w:rsidRPr="00B04928">
                  <w:instrText xml:space="preserve"> PAGE   \* MERGEFORMAT </w:instrText>
                </w:r>
                <w:r w:rsidRPr="00B04928">
                  <w:fldChar w:fldCharType="separate"/>
                </w:r>
                <w:r>
                  <w:rPr>
                    <w:noProof/>
                  </w:rPr>
                  <w:t>6</w:t>
                </w:r>
                <w:r w:rsidRPr="00B04928">
                  <w:fldChar w:fldCharType="end"/>
                </w:r>
                <w:r>
                  <w:t xml:space="preserve"> di 1</w:t>
                </w:r>
                <w:r w:rsidR="0043213A">
                  <w:t>7</w:t>
                </w:r>
              </w:p>
              <w:p w14:paraId="1E7AC9D4" w14:textId="77777777" w:rsidR="00B7258D" w:rsidRPr="00BF627C" w:rsidRDefault="00B7258D" w:rsidP="00364692">
                <w:pPr>
                  <w:rPr>
                    <w:rFonts w:ascii="Calibri" w:hAnsi="Calibri"/>
                    <w:sz w:val="24"/>
                    <w:szCs w:val="28"/>
                    <w:highlight w:val="yellow"/>
                  </w:rPr>
                </w:pPr>
              </w:p>
            </w:tc>
            <w:tc>
              <w:tcPr>
                <w:tcW w:w="4124" w:type="pct"/>
                <w:vAlign w:val="center"/>
              </w:tcPr>
              <w:p w14:paraId="679D8F19" w14:textId="77777777" w:rsidR="00B7258D" w:rsidRDefault="00B7258D" w:rsidP="00364692">
                <w:pPr>
                  <w:pStyle w:val="Pidipagina"/>
                </w:pPr>
                <w:r w:rsidRPr="004233DF">
                  <w:rPr>
                    <w:rFonts w:ascii="Arial Narrow" w:hAnsi="Arial Narrow"/>
                    <w:sz w:val="14"/>
                  </w:rPr>
                  <w:t xml:space="preserve">Società Reale Mutua di Assicurazioni - Fondata nel 1828 - Sede Legale e Direzione Generale: Via Corte d’Appello 11, 10122 Torino (Italia) - tel. +39 0114 311 111 - fax +39 0114 350 966 – </w:t>
                </w:r>
                <w:r w:rsidRPr="006E578F">
                  <w:rPr>
                    <w:rFonts w:ascii="Arial Narrow" w:hAnsi="Arial Narrow"/>
                    <w:sz w:val="14"/>
                  </w:rPr>
                  <w:t>realemutua@pec.realemutua.it</w:t>
                </w:r>
                <w:r>
                  <w:rPr>
                    <w:rFonts w:ascii="Arial Narrow" w:hAnsi="Arial Narrow"/>
                    <w:sz w:val="14"/>
                  </w:rPr>
                  <w:t xml:space="preserve">. - </w:t>
                </w:r>
                <w:r w:rsidRPr="004233DF">
                  <w:rPr>
                    <w:rFonts w:ascii="Arial Narrow" w:hAnsi="Arial Narrow"/>
                    <w:sz w:val="14"/>
                  </w:rPr>
                  <w:t>www.realemutua.it – Servizio Buongiorno Reale N. Verde 800-320320 – buongiornoreale@realemutua.it -  Registro Imprese Torino, Codice Fiscale e N. Partita IVA 00875360018 - R.E.A. Torino N. 9806 - Iscritta al numero 1.00001 dell’Albo delle Imprese di assicurazione e riassicurazione – Capogruppo del Gruppo assicurativo Reale Mutua, iscritto all’Albo dei gruppi assicurativi</w:t>
                </w:r>
              </w:p>
            </w:tc>
            <w:tc>
              <w:tcPr>
                <w:tcW w:w="335" w:type="pct"/>
                <w:vAlign w:val="center"/>
              </w:tcPr>
              <w:p w14:paraId="22879E0E" w14:textId="77777777" w:rsidR="00B7258D" w:rsidRDefault="00F75DF4" w:rsidP="00364692">
                <w:pPr>
                  <w:pStyle w:val="Pidipagina"/>
                  <w:jc w:val="right"/>
                </w:pPr>
                <w:r w:rsidRPr="00241E92">
                  <w:rPr>
                    <w:noProof/>
                  </w:rPr>
                  <w:drawing>
                    <wp:inline distT="0" distB="0" distL="0" distR="0" wp14:anchorId="2F412F51" wp14:editId="72C0F7E9">
                      <wp:extent cx="260350" cy="28575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10931" t="51692" r="83952" b="40759"/>
                              <a:stretch>
                                <a:fillRect/>
                              </a:stretch>
                            </pic:blipFill>
                            <pic:spPr bwMode="auto">
                              <a:xfrm>
                                <a:off x="0" y="0"/>
                                <a:ext cx="260350" cy="285750"/>
                              </a:xfrm>
                              <a:prstGeom prst="rect">
                                <a:avLst/>
                              </a:prstGeom>
                              <a:noFill/>
                              <a:ln>
                                <a:noFill/>
                              </a:ln>
                            </pic:spPr>
                          </pic:pic>
                        </a:graphicData>
                      </a:graphic>
                    </wp:inline>
                  </w:drawing>
                </w:r>
              </w:p>
            </w:tc>
          </w:tr>
        </w:tbl>
        <w:p w14:paraId="4432BEB6" w14:textId="77777777" w:rsidR="00B7258D" w:rsidRDefault="00B7258D" w:rsidP="00364692">
          <w:pPr>
            <w:jc w:val="center"/>
          </w:pPr>
        </w:p>
      </w:tc>
    </w:tr>
  </w:tbl>
  <w:p w14:paraId="31D515AB" w14:textId="77777777" w:rsidR="00B7258D" w:rsidRDefault="00B7258D" w:rsidP="00B04928">
    <w:pPr>
      <w:rPr>
        <w:rFonts w:ascii="Arial Narrow" w:hAnsi="Arial Narrow"/>
        <w:sz w:val="14"/>
      </w:rPr>
    </w:pPr>
  </w:p>
  <w:p w14:paraId="56AD0DD9" w14:textId="77777777" w:rsidR="00B7258D" w:rsidRDefault="00B7258D" w:rsidP="00B04928">
    <w:pPr>
      <w:jc w:val="center"/>
      <w:rPr>
        <w:rFonts w:ascii="Arial Narrow" w:hAnsi="Arial Narrow"/>
        <w:sz w:val="14"/>
      </w:rPr>
    </w:pPr>
    <w:r w:rsidRPr="004233DF">
      <w:object w:dxaOrig="621" w:dyaOrig="621" w14:anchorId="6FF39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30.75pt" fillcolor="window">
          <v:imagedata r:id="rId2" o:title=""/>
        </v:shape>
        <o:OLEObject Type="Embed" ProgID="Word.Picture.8" ShapeID="_x0000_i1026" DrawAspect="Content" ObjectID="_1697633940" r:id="rId3"/>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C8F9" w14:textId="77777777" w:rsidR="00C647F1" w:rsidRDefault="00C647F1">
      <w:r>
        <w:separator/>
      </w:r>
    </w:p>
  </w:footnote>
  <w:footnote w:type="continuationSeparator" w:id="0">
    <w:p w14:paraId="47E47F7D" w14:textId="77777777" w:rsidR="00C647F1" w:rsidRDefault="00C6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CE09" w14:textId="77777777" w:rsidR="008463E3" w:rsidRDefault="008463E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030269"/>
      <w:docPartObj>
        <w:docPartGallery w:val="Watermarks"/>
        <w:docPartUnique/>
      </w:docPartObj>
    </w:sdtPr>
    <w:sdtContent>
      <w:p w14:paraId="16C038CF" w14:textId="6A91B907" w:rsidR="00B7258D" w:rsidRDefault="00C13351" w:rsidP="00CB4114">
        <w:r>
          <w:pict w14:anchorId="219EF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22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tbl>
    <w:tblPr>
      <w:tblW w:w="10555" w:type="dxa"/>
      <w:tblBorders>
        <w:bottom w:val="single" w:sz="12" w:space="0" w:color="FFCC00"/>
      </w:tblBorders>
      <w:tblLayout w:type="fixed"/>
      <w:tblLook w:val="04A0" w:firstRow="1" w:lastRow="0" w:firstColumn="1" w:lastColumn="0" w:noHBand="0" w:noVBand="1"/>
    </w:tblPr>
    <w:tblGrid>
      <w:gridCol w:w="10555"/>
    </w:tblGrid>
    <w:tr w:rsidR="00B7258D" w:rsidRPr="00AD727A" w14:paraId="095403B7" w14:textId="77777777" w:rsidTr="00B04928">
      <w:trPr>
        <w:trHeight w:val="405"/>
      </w:trPr>
      <w:tc>
        <w:tcPr>
          <w:tcW w:w="10555" w:type="dxa"/>
        </w:tcPr>
        <w:p w14:paraId="67502979" w14:textId="3DB2FC9C" w:rsidR="00B7258D" w:rsidRPr="00AD727A" w:rsidRDefault="00B7258D" w:rsidP="00CD1F72">
          <w:pPr>
            <w:pStyle w:val="Intestazione"/>
            <w:jc w:val="right"/>
            <w:rPr>
              <w:rFonts w:ascii="Titillium Up" w:hAnsi="Titillium Up"/>
              <w:b/>
              <w:color w:val="17365D"/>
              <w:sz w:val="24"/>
              <w:szCs w:val="24"/>
            </w:rPr>
          </w:pPr>
          <w:r w:rsidRPr="00F852E7">
            <w:rPr>
              <w:rFonts w:ascii="Titillium Up" w:hAnsi="Titillium Up"/>
              <w:b/>
              <w:color w:val="17365D"/>
              <w:sz w:val="32"/>
              <w:szCs w:val="32"/>
            </w:rPr>
            <w:t xml:space="preserve">Mod. </w:t>
          </w:r>
          <w:r w:rsidR="0043213A" w:rsidRPr="00F852E7">
            <w:rPr>
              <w:rFonts w:ascii="Titillium Up" w:hAnsi="Titillium Up"/>
              <w:b/>
              <w:color w:val="17365D"/>
              <w:sz w:val="32"/>
              <w:szCs w:val="32"/>
            </w:rPr>
            <w:t>5001/</w:t>
          </w:r>
          <w:r w:rsidR="00AA6C2D" w:rsidRPr="00F852E7">
            <w:rPr>
              <w:rFonts w:ascii="Titillium Up" w:hAnsi="Titillium Up"/>
              <w:b/>
              <w:color w:val="17365D"/>
              <w:sz w:val="32"/>
              <w:szCs w:val="32"/>
            </w:rPr>
            <w:t>CAPR</w:t>
          </w:r>
          <w:r w:rsidRPr="00F852E7">
            <w:rPr>
              <w:rFonts w:ascii="Titillium Up" w:hAnsi="Titillium Up"/>
              <w:b/>
              <w:color w:val="17365D"/>
              <w:sz w:val="32"/>
              <w:szCs w:val="32"/>
            </w:rPr>
            <w:t xml:space="preserve"> RCG</w:t>
          </w:r>
          <w:r w:rsidRPr="00F852E7">
            <w:rPr>
              <w:rFonts w:ascii="Titillium Up" w:hAnsi="Titillium Up"/>
              <w:b/>
              <w:color w:val="17365D"/>
              <w:sz w:val="24"/>
            </w:rPr>
            <w:t xml:space="preserve"> </w:t>
          </w:r>
          <w:r w:rsidRPr="00F852E7">
            <w:rPr>
              <w:rFonts w:ascii="Titillium Up" w:hAnsi="Titillium Up"/>
              <w:b/>
              <w:color w:val="17365D"/>
              <w:sz w:val="28"/>
            </w:rPr>
            <w:t xml:space="preserve">– Ed. </w:t>
          </w:r>
        </w:p>
      </w:tc>
    </w:tr>
  </w:tbl>
  <w:p w14:paraId="771F4783" w14:textId="77777777" w:rsidR="00B7258D" w:rsidRPr="003F7817" w:rsidRDefault="00B7258D" w:rsidP="00CB411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2864" w14:textId="77777777" w:rsidR="008463E3" w:rsidRDefault="008463E3">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82A0" w14:textId="7A3327FD" w:rsidR="00B7258D" w:rsidRDefault="00B7258D" w:rsidP="00CB4114"/>
  <w:tbl>
    <w:tblPr>
      <w:tblW w:w="10598" w:type="dxa"/>
      <w:tblBorders>
        <w:bottom w:val="single" w:sz="12" w:space="0" w:color="FFCC00"/>
      </w:tblBorders>
      <w:tblLayout w:type="fixed"/>
      <w:tblLook w:val="04A0" w:firstRow="1" w:lastRow="0" w:firstColumn="1" w:lastColumn="0" w:noHBand="0" w:noVBand="1"/>
    </w:tblPr>
    <w:tblGrid>
      <w:gridCol w:w="10598"/>
    </w:tblGrid>
    <w:tr w:rsidR="00B7258D" w14:paraId="00E244C5" w14:textId="77777777" w:rsidTr="00F07BFB">
      <w:tc>
        <w:tcPr>
          <w:tcW w:w="10598" w:type="dxa"/>
        </w:tcPr>
        <w:p w14:paraId="18BC0A42" w14:textId="4A37DE2A" w:rsidR="00B7258D" w:rsidRPr="00B04928" w:rsidRDefault="00B7258D" w:rsidP="00CD1F72">
          <w:pPr>
            <w:pStyle w:val="Intestazione"/>
            <w:jc w:val="right"/>
            <w:rPr>
              <w:rFonts w:ascii="Titillium Up" w:hAnsi="Titillium Up"/>
              <w:b/>
              <w:color w:val="17365D"/>
              <w:sz w:val="24"/>
              <w:szCs w:val="24"/>
            </w:rPr>
          </w:pPr>
          <w:r>
            <w:rPr>
              <w:rFonts w:ascii="Titillium Up" w:hAnsi="Titillium Up" w:cs="Arial"/>
              <w:b/>
              <w:color w:val="17365D"/>
              <w:sz w:val="32"/>
              <w:szCs w:val="22"/>
            </w:rPr>
            <w:t>Mod.</w:t>
          </w:r>
          <w:r w:rsidRPr="00E4259A">
            <w:rPr>
              <w:rFonts w:ascii="Titillium Up" w:hAnsi="Titillium Up" w:cs="Arial"/>
              <w:b/>
              <w:color w:val="17365D"/>
              <w:sz w:val="32"/>
              <w:szCs w:val="22"/>
            </w:rPr>
            <w:t xml:space="preserve"> </w:t>
          </w:r>
          <w:r w:rsidR="0043213A" w:rsidRPr="00F852E7">
            <w:rPr>
              <w:rFonts w:ascii="Titillium Up" w:hAnsi="Titillium Up"/>
              <w:b/>
              <w:color w:val="17365D"/>
              <w:sz w:val="32"/>
              <w:szCs w:val="32"/>
            </w:rPr>
            <w:t>5001/</w:t>
          </w:r>
          <w:r w:rsidR="00AA6C2D" w:rsidRPr="00F852E7">
            <w:rPr>
              <w:rFonts w:ascii="Titillium Up" w:hAnsi="Titillium Up"/>
              <w:b/>
              <w:color w:val="17365D"/>
              <w:sz w:val="32"/>
              <w:szCs w:val="32"/>
            </w:rPr>
            <w:t>CAPR</w:t>
          </w:r>
          <w:r w:rsidRPr="00F852E7">
            <w:rPr>
              <w:rFonts w:ascii="Titillium Up" w:hAnsi="Titillium Up"/>
              <w:b/>
              <w:color w:val="17365D"/>
              <w:sz w:val="32"/>
              <w:szCs w:val="32"/>
            </w:rPr>
            <w:t xml:space="preserve"> RCG</w:t>
          </w:r>
          <w:r w:rsidRPr="00F852E7">
            <w:rPr>
              <w:rFonts w:ascii="Titillium Up" w:hAnsi="Titillium Up"/>
              <w:b/>
              <w:color w:val="17365D"/>
              <w:sz w:val="24"/>
            </w:rPr>
            <w:t xml:space="preserve"> </w:t>
          </w:r>
          <w:r w:rsidRPr="00F852E7">
            <w:rPr>
              <w:rFonts w:ascii="Titillium Up" w:hAnsi="Titillium Up"/>
              <w:b/>
              <w:color w:val="17365D"/>
              <w:sz w:val="28"/>
            </w:rPr>
            <w:t>– Ed.</w:t>
          </w:r>
        </w:p>
      </w:tc>
    </w:tr>
  </w:tbl>
  <w:p w14:paraId="0374F54A" w14:textId="77777777" w:rsidR="00B7258D" w:rsidRPr="003F7817" w:rsidRDefault="00B7258D" w:rsidP="00CB411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7F0F5E"/>
    <w:multiLevelType w:val="hybridMultilevel"/>
    <w:tmpl w:val="CC97159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2E28EEE"/>
    <w:multiLevelType w:val="hybridMultilevel"/>
    <w:tmpl w:val="A58FC04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A"/>
    <w:multiLevelType w:val="singleLevel"/>
    <w:tmpl w:val="0000000A"/>
    <w:name w:val="WW8Num27"/>
    <w:lvl w:ilvl="0">
      <w:start w:val="1"/>
      <w:numFmt w:val="bullet"/>
      <w:lvlText w:val=""/>
      <w:lvlJc w:val="left"/>
      <w:pPr>
        <w:tabs>
          <w:tab w:val="num" w:pos="780"/>
        </w:tabs>
        <w:ind w:left="780" w:hanging="360"/>
      </w:pPr>
      <w:rPr>
        <w:rFonts w:ascii="Symbol" w:hAnsi="Symbol" w:cs="Symbol" w:hint="default"/>
      </w:rPr>
    </w:lvl>
  </w:abstractNum>
  <w:abstractNum w:abstractNumId="3" w15:restartNumberingAfterBreak="0">
    <w:nsid w:val="022E50AB"/>
    <w:multiLevelType w:val="singleLevel"/>
    <w:tmpl w:val="8CC01A76"/>
    <w:lvl w:ilvl="0">
      <w:start w:val="2"/>
      <w:numFmt w:val="lowerLetter"/>
      <w:lvlText w:val="%1)"/>
      <w:lvlJc w:val="left"/>
      <w:pPr>
        <w:tabs>
          <w:tab w:val="num" w:pos="1138"/>
        </w:tabs>
        <w:ind w:left="1138" w:hanging="570"/>
      </w:pPr>
      <w:rPr>
        <w:rFonts w:hint="default"/>
        <w:b/>
      </w:rPr>
    </w:lvl>
  </w:abstractNum>
  <w:abstractNum w:abstractNumId="4" w15:restartNumberingAfterBreak="0">
    <w:nsid w:val="077D7BAB"/>
    <w:multiLevelType w:val="hybridMultilevel"/>
    <w:tmpl w:val="40EAD15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079B7602"/>
    <w:multiLevelType w:val="hybridMultilevel"/>
    <w:tmpl w:val="833AB614"/>
    <w:lvl w:ilvl="0" w:tplc="C6984FF2">
      <w:start w:val="1"/>
      <w:numFmt w:val="bullet"/>
      <w:lvlText w:val="-"/>
      <w:lvlJc w:val="left"/>
      <w:pPr>
        <w:tabs>
          <w:tab w:val="num" w:pos="644"/>
        </w:tabs>
        <w:ind w:left="644" w:hanging="360"/>
      </w:pPr>
      <w:rPr>
        <w:rFonts w:ascii="Times New Roman" w:eastAsia="Times"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A07661F"/>
    <w:multiLevelType w:val="hybridMultilevel"/>
    <w:tmpl w:val="E46490DE"/>
    <w:lvl w:ilvl="0" w:tplc="FFFFFFF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813"/>
        </w:tabs>
        <w:ind w:left="813" w:hanging="360"/>
      </w:pPr>
    </w:lvl>
    <w:lvl w:ilvl="2" w:tplc="0410001B" w:tentative="1">
      <w:start w:val="1"/>
      <w:numFmt w:val="lowerRoman"/>
      <w:lvlText w:val="%3."/>
      <w:lvlJc w:val="right"/>
      <w:pPr>
        <w:tabs>
          <w:tab w:val="num" w:pos="1533"/>
        </w:tabs>
        <w:ind w:left="1533" w:hanging="180"/>
      </w:pPr>
    </w:lvl>
    <w:lvl w:ilvl="3" w:tplc="0410000F" w:tentative="1">
      <w:start w:val="1"/>
      <w:numFmt w:val="decimal"/>
      <w:lvlText w:val="%4."/>
      <w:lvlJc w:val="left"/>
      <w:pPr>
        <w:tabs>
          <w:tab w:val="num" w:pos="2253"/>
        </w:tabs>
        <w:ind w:left="2253" w:hanging="360"/>
      </w:pPr>
    </w:lvl>
    <w:lvl w:ilvl="4" w:tplc="04100019" w:tentative="1">
      <w:start w:val="1"/>
      <w:numFmt w:val="lowerLetter"/>
      <w:lvlText w:val="%5."/>
      <w:lvlJc w:val="left"/>
      <w:pPr>
        <w:tabs>
          <w:tab w:val="num" w:pos="2973"/>
        </w:tabs>
        <w:ind w:left="2973" w:hanging="360"/>
      </w:pPr>
    </w:lvl>
    <w:lvl w:ilvl="5" w:tplc="0410001B" w:tentative="1">
      <w:start w:val="1"/>
      <w:numFmt w:val="lowerRoman"/>
      <w:lvlText w:val="%6."/>
      <w:lvlJc w:val="right"/>
      <w:pPr>
        <w:tabs>
          <w:tab w:val="num" w:pos="3693"/>
        </w:tabs>
        <w:ind w:left="3693" w:hanging="180"/>
      </w:pPr>
    </w:lvl>
    <w:lvl w:ilvl="6" w:tplc="0410000F" w:tentative="1">
      <w:start w:val="1"/>
      <w:numFmt w:val="decimal"/>
      <w:lvlText w:val="%7."/>
      <w:lvlJc w:val="left"/>
      <w:pPr>
        <w:tabs>
          <w:tab w:val="num" w:pos="4413"/>
        </w:tabs>
        <w:ind w:left="4413" w:hanging="360"/>
      </w:pPr>
    </w:lvl>
    <w:lvl w:ilvl="7" w:tplc="04100019" w:tentative="1">
      <w:start w:val="1"/>
      <w:numFmt w:val="lowerLetter"/>
      <w:lvlText w:val="%8."/>
      <w:lvlJc w:val="left"/>
      <w:pPr>
        <w:tabs>
          <w:tab w:val="num" w:pos="5133"/>
        </w:tabs>
        <w:ind w:left="5133" w:hanging="360"/>
      </w:pPr>
    </w:lvl>
    <w:lvl w:ilvl="8" w:tplc="0410001B" w:tentative="1">
      <w:start w:val="1"/>
      <w:numFmt w:val="lowerRoman"/>
      <w:lvlText w:val="%9."/>
      <w:lvlJc w:val="right"/>
      <w:pPr>
        <w:tabs>
          <w:tab w:val="num" w:pos="5853"/>
        </w:tabs>
        <w:ind w:left="5853" w:hanging="180"/>
      </w:pPr>
    </w:lvl>
  </w:abstractNum>
  <w:abstractNum w:abstractNumId="7" w15:restartNumberingAfterBreak="0">
    <w:nsid w:val="0A894907"/>
    <w:multiLevelType w:val="hybridMultilevel"/>
    <w:tmpl w:val="8FEAB0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2B0A60"/>
    <w:multiLevelType w:val="hybridMultilevel"/>
    <w:tmpl w:val="D0CE0E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033187D"/>
    <w:multiLevelType w:val="hybridMultilevel"/>
    <w:tmpl w:val="51C8FFBE"/>
    <w:lvl w:ilvl="0" w:tplc="0C3CDE7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6E6EE7"/>
    <w:multiLevelType w:val="hybridMultilevel"/>
    <w:tmpl w:val="85EC1E56"/>
    <w:lvl w:ilvl="0" w:tplc="28B631D8">
      <w:start w:val="1"/>
      <w:numFmt w:val="decimal"/>
      <w:lvlText w:val="2.%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2FD2AEF"/>
    <w:multiLevelType w:val="hybridMultilevel"/>
    <w:tmpl w:val="04D82B32"/>
    <w:lvl w:ilvl="0" w:tplc="04100017">
      <w:start w:val="1"/>
      <w:numFmt w:val="lowerLetter"/>
      <w:lvlText w:val="%1)"/>
      <w:lvlJc w:val="left"/>
      <w:pPr>
        <w:ind w:left="721" w:hanging="360"/>
      </w:pPr>
    </w:lvl>
    <w:lvl w:ilvl="1" w:tplc="8F38BF88">
      <w:start w:val="1"/>
      <w:numFmt w:val="decimal"/>
      <w:lvlText w:val="%2."/>
      <w:lvlJc w:val="left"/>
      <w:pPr>
        <w:ind w:left="1441" w:hanging="360"/>
      </w:pPr>
      <w:rPr>
        <w:rFonts w:hint="default"/>
      </w:r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12" w15:restartNumberingAfterBreak="0">
    <w:nsid w:val="157D1D62"/>
    <w:multiLevelType w:val="hybridMultilevel"/>
    <w:tmpl w:val="F2265C22"/>
    <w:lvl w:ilvl="0" w:tplc="233ACD2E">
      <w:start w:val="1"/>
      <w:numFmt w:val="lowerLetter"/>
      <w:lvlText w:val="%1)"/>
      <w:lvlJc w:val="left"/>
      <w:pPr>
        <w:tabs>
          <w:tab w:val="num" w:pos="988"/>
        </w:tabs>
        <w:ind w:left="988" w:hanging="420"/>
      </w:pPr>
      <w:rPr>
        <w:rFonts w:hint="default"/>
        <w:b/>
      </w:rPr>
    </w:lvl>
    <w:lvl w:ilvl="1" w:tplc="04100019" w:tentative="1">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3" w15:restartNumberingAfterBreak="0">
    <w:nsid w:val="17D6179B"/>
    <w:multiLevelType w:val="hybridMultilevel"/>
    <w:tmpl w:val="3614EAC8"/>
    <w:lvl w:ilvl="0" w:tplc="536E0398">
      <w:numFmt w:val="bullet"/>
      <w:lvlText w:val="-"/>
      <w:lvlJc w:val="left"/>
      <w:pPr>
        <w:tabs>
          <w:tab w:val="num" w:pos="720"/>
        </w:tabs>
        <w:ind w:left="720" w:hanging="360"/>
      </w:pPr>
      <w:rPr>
        <w:rFonts w:ascii="Times New Roman" w:eastAsia="Times New Roman" w:hAnsi="Times New Roman"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A9160A"/>
    <w:multiLevelType w:val="hybridMultilevel"/>
    <w:tmpl w:val="E8826078"/>
    <w:lvl w:ilvl="0" w:tplc="0C3CDE7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1B802934"/>
    <w:multiLevelType w:val="hybridMultilevel"/>
    <w:tmpl w:val="B22E23D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BCA44A6"/>
    <w:multiLevelType w:val="hybridMultilevel"/>
    <w:tmpl w:val="8EA621B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235E13BD"/>
    <w:multiLevelType w:val="hybridMultilevel"/>
    <w:tmpl w:val="DFA68894"/>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23D32112"/>
    <w:multiLevelType w:val="hybridMultilevel"/>
    <w:tmpl w:val="C816663A"/>
    <w:lvl w:ilvl="0" w:tplc="59BA86A8">
      <w:start w:val="1"/>
      <w:numFmt w:val="decimal"/>
      <w:lvlText w:val="%1."/>
      <w:lvlJc w:val="left"/>
      <w:pPr>
        <w:tabs>
          <w:tab w:val="num" w:pos="360"/>
        </w:tabs>
        <w:ind w:left="360" w:hanging="360"/>
      </w:pPr>
      <w:rPr>
        <w:rFonts w:hint="default"/>
        <w:b w:val="0"/>
        <w:color w:val="1F497D"/>
      </w:rPr>
    </w:lvl>
    <w:lvl w:ilvl="1" w:tplc="FFFFFFFF">
      <w:numFmt w:val="bullet"/>
      <w:lvlText w:val="-"/>
      <w:lvlJc w:val="left"/>
      <w:pPr>
        <w:tabs>
          <w:tab w:val="num" w:pos="1080"/>
        </w:tabs>
        <w:ind w:left="1080" w:hanging="360"/>
      </w:pPr>
      <w:rPr>
        <w:rFonts w:ascii="Arial" w:eastAsia="Times New Roman" w:hAnsi="Arial" w:cs="Arial" w:hint="default"/>
        <w:b w:val="0"/>
      </w:rPr>
    </w:lvl>
    <w:lvl w:ilvl="2" w:tplc="FFFFFFFF">
      <w:start w:val="1"/>
      <w:numFmt w:val="decimal"/>
      <w:lvlText w:val="%3)"/>
      <w:lvlJc w:val="left"/>
      <w:pPr>
        <w:tabs>
          <w:tab w:val="num" w:pos="644"/>
        </w:tabs>
        <w:ind w:left="644" w:hanging="360"/>
      </w:pPr>
      <w:rPr>
        <w:rFonts w:hint="default"/>
      </w:rPr>
    </w:lvl>
    <w:lvl w:ilvl="3" w:tplc="FFFFFFFF">
      <w:start w:val="1"/>
      <w:numFmt w:val="bullet"/>
      <w:lvlText w:val=""/>
      <w:lvlJc w:val="left"/>
      <w:pPr>
        <w:tabs>
          <w:tab w:val="num" w:pos="786"/>
        </w:tabs>
        <w:ind w:left="786" w:hanging="360"/>
      </w:pPr>
      <w:rPr>
        <w:rFonts w:ascii="Symbol" w:hAnsi="Symbol"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23ED63E7"/>
    <w:multiLevelType w:val="hybridMultilevel"/>
    <w:tmpl w:val="C42685B2"/>
    <w:lvl w:ilvl="0" w:tplc="0C3CDE7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4CF5DD8"/>
    <w:multiLevelType w:val="multilevel"/>
    <w:tmpl w:val="EA3CA8E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260416EB"/>
    <w:multiLevelType w:val="hybridMultilevel"/>
    <w:tmpl w:val="0818F65E"/>
    <w:lvl w:ilvl="0" w:tplc="208A9408">
      <w:start w:val="1"/>
      <w:numFmt w:val="lowerLetter"/>
      <w:lvlText w:val="%1)"/>
      <w:lvlJc w:val="left"/>
      <w:pPr>
        <w:tabs>
          <w:tab w:val="num" w:pos="1068"/>
        </w:tabs>
        <w:ind w:left="1068" w:hanging="360"/>
      </w:pPr>
      <w:rPr>
        <w:rFonts w:ascii="Titillium Up" w:eastAsia="Times New Roman" w:hAnsi="Titillium Up" w:cs="Arial"/>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CE765AE"/>
    <w:multiLevelType w:val="hybridMultilevel"/>
    <w:tmpl w:val="28A24D02"/>
    <w:lvl w:ilvl="0" w:tplc="2BDE61DA">
      <w:start w:val="6"/>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357312"/>
    <w:multiLevelType w:val="hybridMultilevel"/>
    <w:tmpl w:val="9E14075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2EBE59D2"/>
    <w:multiLevelType w:val="singleLevel"/>
    <w:tmpl w:val="16B6A46E"/>
    <w:lvl w:ilvl="0">
      <w:start w:val="1"/>
      <w:numFmt w:val="bullet"/>
      <w:lvlText w:val="-"/>
      <w:lvlJc w:val="left"/>
      <w:pPr>
        <w:tabs>
          <w:tab w:val="num" w:pos="1778"/>
        </w:tabs>
        <w:ind w:left="1778" w:hanging="360"/>
      </w:pPr>
      <w:rPr>
        <w:rFonts w:hint="default"/>
      </w:rPr>
    </w:lvl>
  </w:abstractNum>
  <w:abstractNum w:abstractNumId="25" w15:restartNumberingAfterBreak="0">
    <w:nsid w:val="2FFA393A"/>
    <w:multiLevelType w:val="hybridMultilevel"/>
    <w:tmpl w:val="2C703E12"/>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36EA6AF5"/>
    <w:multiLevelType w:val="hybridMultilevel"/>
    <w:tmpl w:val="923C7A8C"/>
    <w:lvl w:ilvl="0" w:tplc="AC98B4BE">
      <w:start w:val="1"/>
      <w:numFmt w:val="lowerLetter"/>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3EC554D6"/>
    <w:multiLevelType w:val="hybridMultilevel"/>
    <w:tmpl w:val="A8AAF440"/>
    <w:lvl w:ilvl="0" w:tplc="0BEEE66C">
      <w:start w:val="1"/>
      <w:numFmt w:val="bullet"/>
      <w:lvlText w:val=""/>
      <w:lvlJc w:val="left"/>
      <w:pPr>
        <w:tabs>
          <w:tab w:val="num" w:pos="357"/>
        </w:tabs>
        <w:ind w:left="357" w:hanging="357"/>
      </w:pPr>
      <w:rPr>
        <w:rFonts w:ascii="Calibri" w:hAnsi="Calibri" w:hint="default"/>
      </w:rPr>
    </w:lvl>
    <w:lvl w:ilvl="1" w:tplc="04100003" w:tentative="1">
      <w:start w:val="1"/>
      <w:numFmt w:val="bullet"/>
      <w:lvlText w:val="o"/>
      <w:lvlJc w:val="left"/>
      <w:pPr>
        <w:tabs>
          <w:tab w:val="num" w:pos="1440"/>
        </w:tabs>
        <w:ind w:left="1440" w:hanging="360"/>
      </w:pPr>
      <w:rPr>
        <w:rFonts w:ascii="Wingdings" w:hAnsi="Wingdings" w:cs="Wingdings" w:hint="default"/>
      </w:rPr>
    </w:lvl>
    <w:lvl w:ilvl="2" w:tplc="04100005" w:tentative="1">
      <w:start w:val="1"/>
      <w:numFmt w:val="bullet"/>
      <w:lvlText w:val=""/>
      <w:lvlJc w:val="left"/>
      <w:pPr>
        <w:tabs>
          <w:tab w:val="num" w:pos="2160"/>
        </w:tabs>
        <w:ind w:left="2160" w:hanging="360"/>
      </w:pPr>
      <w:rPr>
        <w:rFonts w:ascii="Cambria Math" w:hAnsi="Cambria Math" w:hint="default"/>
      </w:rPr>
    </w:lvl>
    <w:lvl w:ilvl="3" w:tplc="04100001" w:tentative="1">
      <w:start w:val="1"/>
      <w:numFmt w:val="bullet"/>
      <w:lvlText w:val=""/>
      <w:lvlJc w:val="left"/>
      <w:pPr>
        <w:tabs>
          <w:tab w:val="num" w:pos="2880"/>
        </w:tabs>
        <w:ind w:left="2880" w:hanging="360"/>
      </w:pPr>
      <w:rPr>
        <w:rFonts w:ascii="Wingdings 3" w:hAnsi="Wingdings 3" w:hint="default"/>
      </w:rPr>
    </w:lvl>
    <w:lvl w:ilvl="4" w:tplc="04100003" w:tentative="1">
      <w:start w:val="1"/>
      <w:numFmt w:val="bullet"/>
      <w:lvlText w:val="o"/>
      <w:lvlJc w:val="left"/>
      <w:pPr>
        <w:tabs>
          <w:tab w:val="num" w:pos="3600"/>
        </w:tabs>
        <w:ind w:left="3600" w:hanging="360"/>
      </w:pPr>
      <w:rPr>
        <w:rFonts w:ascii="Wingdings" w:hAnsi="Wingdings" w:cs="Wingdings" w:hint="default"/>
      </w:rPr>
    </w:lvl>
    <w:lvl w:ilvl="5" w:tplc="04100005" w:tentative="1">
      <w:start w:val="1"/>
      <w:numFmt w:val="bullet"/>
      <w:lvlText w:val=""/>
      <w:lvlJc w:val="left"/>
      <w:pPr>
        <w:tabs>
          <w:tab w:val="num" w:pos="4320"/>
        </w:tabs>
        <w:ind w:left="4320" w:hanging="360"/>
      </w:pPr>
      <w:rPr>
        <w:rFonts w:ascii="Cambria Math" w:hAnsi="Cambria Math" w:hint="default"/>
      </w:rPr>
    </w:lvl>
    <w:lvl w:ilvl="6" w:tplc="04100001" w:tentative="1">
      <w:start w:val="1"/>
      <w:numFmt w:val="bullet"/>
      <w:lvlText w:val=""/>
      <w:lvlJc w:val="left"/>
      <w:pPr>
        <w:tabs>
          <w:tab w:val="num" w:pos="5040"/>
        </w:tabs>
        <w:ind w:left="5040" w:hanging="360"/>
      </w:pPr>
      <w:rPr>
        <w:rFonts w:ascii="Wingdings 3" w:hAnsi="Wingdings 3" w:hint="default"/>
      </w:rPr>
    </w:lvl>
    <w:lvl w:ilvl="7" w:tplc="04100003" w:tentative="1">
      <w:start w:val="1"/>
      <w:numFmt w:val="bullet"/>
      <w:lvlText w:val="o"/>
      <w:lvlJc w:val="left"/>
      <w:pPr>
        <w:tabs>
          <w:tab w:val="num" w:pos="5760"/>
        </w:tabs>
        <w:ind w:left="5760" w:hanging="360"/>
      </w:pPr>
      <w:rPr>
        <w:rFonts w:ascii="Wingdings" w:hAnsi="Wingdings" w:cs="Wingdings" w:hint="default"/>
      </w:rPr>
    </w:lvl>
    <w:lvl w:ilvl="8" w:tplc="04100005" w:tentative="1">
      <w:start w:val="1"/>
      <w:numFmt w:val="bullet"/>
      <w:lvlText w:val=""/>
      <w:lvlJc w:val="left"/>
      <w:pPr>
        <w:tabs>
          <w:tab w:val="num" w:pos="6480"/>
        </w:tabs>
        <w:ind w:left="6480" w:hanging="360"/>
      </w:pPr>
      <w:rPr>
        <w:rFonts w:ascii="Cambria Math" w:hAnsi="Cambria Math" w:hint="default"/>
      </w:rPr>
    </w:lvl>
  </w:abstractNum>
  <w:abstractNum w:abstractNumId="28" w15:restartNumberingAfterBreak="0">
    <w:nsid w:val="44B47E81"/>
    <w:multiLevelType w:val="singleLevel"/>
    <w:tmpl w:val="1DA0DCAE"/>
    <w:lvl w:ilvl="0">
      <w:start w:val="2"/>
      <w:numFmt w:val="upperLetter"/>
      <w:lvlText w:val="%1)"/>
      <w:lvlJc w:val="left"/>
      <w:pPr>
        <w:tabs>
          <w:tab w:val="num" w:pos="1137"/>
        </w:tabs>
        <w:ind w:left="1137" w:hanging="570"/>
      </w:pPr>
      <w:rPr>
        <w:rFonts w:hint="default"/>
        <w:b/>
        <w:sz w:val="20"/>
      </w:rPr>
    </w:lvl>
  </w:abstractNum>
  <w:abstractNum w:abstractNumId="29" w15:restartNumberingAfterBreak="0">
    <w:nsid w:val="49784AFA"/>
    <w:multiLevelType w:val="hybridMultilevel"/>
    <w:tmpl w:val="06A8A4A4"/>
    <w:lvl w:ilvl="0" w:tplc="FFFFFFF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4A75302A"/>
    <w:multiLevelType w:val="hybridMultilevel"/>
    <w:tmpl w:val="759A304A"/>
    <w:lvl w:ilvl="0" w:tplc="03D42CA6">
      <w:start w:val="2"/>
      <w:numFmt w:val="bullet"/>
      <w:lvlText w:val="-"/>
      <w:lvlJc w:val="left"/>
      <w:pPr>
        <w:tabs>
          <w:tab w:val="num" w:pos="928"/>
        </w:tabs>
        <w:ind w:left="928"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15:restartNumberingAfterBreak="0">
    <w:nsid w:val="4AE7425F"/>
    <w:multiLevelType w:val="hybridMultilevel"/>
    <w:tmpl w:val="4C8859E6"/>
    <w:lvl w:ilvl="0" w:tplc="0C3CDE7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BCC24AC"/>
    <w:multiLevelType w:val="hybridMultilevel"/>
    <w:tmpl w:val="433823BE"/>
    <w:lvl w:ilvl="0" w:tplc="7766F62C">
      <w:start w:val="9"/>
      <w:numFmt w:val="lowerLetter"/>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E3756C9"/>
    <w:multiLevelType w:val="singleLevel"/>
    <w:tmpl w:val="681EE440"/>
    <w:lvl w:ilvl="0">
      <w:start w:val="6"/>
      <w:numFmt w:val="bullet"/>
      <w:lvlText w:val="-"/>
      <w:lvlJc w:val="left"/>
      <w:pPr>
        <w:tabs>
          <w:tab w:val="num" w:pos="360"/>
        </w:tabs>
        <w:ind w:left="360" w:hanging="360"/>
      </w:pPr>
      <w:rPr>
        <w:rFonts w:hint="default"/>
        <w:b/>
      </w:rPr>
    </w:lvl>
  </w:abstractNum>
  <w:abstractNum w:abstractNumId="34" w15:restartNumberingAfterBreak="0">
    <w:nsid w:val="515C0B4F"/>
    <w:multiLevelType w:val="hybridMultilevel"/>
    <w:tmpl w:val="121C436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5" w15:restartNumberingAfterBreak="0">
    <w:nsid w:val="5AB521DE"/>
    <w:multiLevelType w:val="singleLevel"/>
    <w:tmpl w:val="B0CE6F36"/>
    <w:lvl w:ilvl="0">
      <w:start w:val="1"/>
      <w:numFmt w:val="decimal"/>
      <w:lvlText w:val="%1)"/>
      <w:lvlJc w:val="left"/>
      <w:pPr>
        <w:tabs>
          <w:tab w:val="num" w:pos="1353"/>
        </w:tabs>
        <w:ind w:left="1353" w:hanging="360"/>
      </w:pPr>
      <w:rPr>
        <w:rFonts w:ascii="Arial" w:hAnsi="Arial" w:cs="Arial" w:hint="default"/>
      </w:rPr>
    </w:lvl>
  </w:abstractNum>
  <w:abstractNum w:abstractNumId="36" w15:restartNumberingAfterBreak="0">
    <w:nsid w:val="5C335A1B"/>
    <w:multiLevelType w:val="hybridMultilevel"/>
    <w:tmpl w:val="C2A4A85C"/>
    <w:lvl w:ilvl="0" w:tplc="005E5ED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E006281"/>
    <w:multiLevelType w:val="hybridMultilevel"/>
    <w:tmpl w:val="B39CF682"/>
    <w:lvl w:ilvl="0" w:tplc="0410000F">
      <w:start w:val="2"/>
      <w:numFmt w:val="decimal"/>
      <w:lvlText w:val="%1."/>
      <w:lvlJc w:val="left"/>
      <w:pPr>
        <w:tabs>
          <w:tab w:val="num" w:pos="502"/>
        </w:tabs>
        <w:ind w:left="502" w:hanging="360"/>
      </w:pPr>
      <w:rPr>
        <w:rFonts w:hint="default"/>
      </w:rPr>
    </w:lvl>
    <w:lvl w:ilvl="1" w:tplc="F1166B0C">
      <w:start w:val="1"/>
      <w:numFmt w:val="lowerLetter"/>
      <w:lvlText w:val="%2)"/>
      <w:lvlJc w:val="left"/>
      <w:pPr>
        <w:tabs>
          <w:tab w:val="num" w:pos="1222"/>
        </w:tabs>
        <w:ind w:left="1222" w:hanging="360"/>
      </w:pPr>
      <w:rPr>
        <w:rFonts w:hint="default"/>
      </w:rPr>
    </w:lvl>
    <w:lvl w:ilvl="2" w:tplc="6FAEF98E">
      <w:start w:val="10"/>
      <w:numFmt w:val="decimal"/>
      <w:lvlText w:val="%3"/>
      <w:lvlJc w:val="left"/>
      <w:pPr>
        <w:tabs>
          <w:tab w:val="num" w:pos="360"/>
        </w:tabs>
        <w:ind w:left="360" w:hanging="360"/>
      </w:pPr>
      <w:rPr>
        <w:rFonts w:hint="default"/>
      </w:rPr>
    </w:lvl>
    <w:lvl w:ilvl="3" w:tplc="0410000F">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8" w15:restartNumberingAfterBreak="0">
    <w:nsid w:val="692279CA"/>
    <w:multiLevelType w:val="hybridMultilevel"/>
    <w:tmpl w:val="7832801E"/>
    <w:lvl w:ilvl="0" w:tplc="D0A26072">
      <w:start w:val="1"/>
      <w:numFmt w:val="lowerLetter"/>
      <w:lvlText w:val="%1)"/>
      <w:lvlJc w:val="left"/>
      <w:pPr>
        <w:ind w:left="284" w:hanging="284"/>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69583085"/>
    <w:multiLevelType w:val="hybridMultilevel"/>
    <w:tmpl w:val="FA2871E4"/>
    <w:lvl w:ilvl="0" w:tplc="FFFFFFFF">
      <w:start w:val="1"/>
      <w:numFmt w:val="decimal"/>
      <w:lvlText w:val="%1)"/>
      <w:lvlJc w:val="left"/>
      <w:pPr>
        <w:tabs>
          <w:tab w:val="num" w:pos="360"/>
        </w:tabs>
        <w:ind w:left="360" w:hanging="360"/>
      </w:pPr>
      <w:rPr>
        <w:rFonts w:hint="default"/>
      </w:rPr>
    </w:lvl>
    <w:lvl w:ilvl="1" w:tplc="04100017">
      <w:start w:val="1"/>
      <w:numFmt w:val="lowerLetter"/>
      <w:lvlText w:val="%2)"/>
      <w:lvlJc w:val="left"/>
      <w:pPr>
        <w:tabs>
          <w:tab w:val="num" w:pos="360"/>
        </w:tabs>
        <w:ind w:left="36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15:restartNumberingAfterBreak="0">
    <w:nsid w:val="6A034711"/>
    <w:multiLevelType w:val="hybridMultilevel"/>
    <w:tmpl w:val="2D76645A"/>
    <w:lvl w:ilvl="0" w:tplc="04100017">
      <w:start w:val="1"/>
      <w:numFmt w:val="lowerLetter"/>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41" w15:restartNumberingAfterBreak="0">
    <w:nsid w:val="72783796"/>
    <w:multiLevelType w:val="hybridMultilevel"/>
    <w:tmpl w:val="7EECC816"/>
    <w:lvl w:ilvl="0" w:tplc="0410000B">
      <w:start w:val="1"/>
      <w:numFmt w:val="bullet"/>
      <w:lvlText w:val=""/>
      <w:lvlJc w:val="left"/>
      <w:pPr>
        <w:ind w:left="780" w:hanging="360"/>
      </w:pPr>
      <w:rPr>
        <w:rFonts w:ascii="Cambria Math" w:hAnsi="Cambria Math" w:hint="default"/>
      </w:rPr>
    </w:lvl>
    <w:lvl w:ilvl="1" w:tplc="0410000B">
      <w:start w:val="1"/>
      <w:numFmt w:val="bullet"/>
      <w:lvlText w:val=""/>
      <w:lvlJc w:val="left"/>
      <w:pPr>
        <w:ind w:left="1500" w:hanging="360"/>
      </w:pPr>
      <w:rPr>
        <w:rFonts w:ascii="Cambria Math" w:hAnsi="Cambria Math" w:hint="default"/>
      </w:rPr>
    </w:lvl>
    <w:lvl w:ilvl="2" w:tplc="04100005" w:tentative="1">
      <w:start w:val="1"/>
      <w:numFmt w:val="bullet"/>
      <w:lvlText w:val=""/>
      <w:lvlJc w:val="left"/>
      <w:pPr>
        <w:ind w:left="2220" w:hanging="360"/>
      </w:pPr>
      <w:rPr>
        <w:rFonts w:ascii="Cambria Math" w:hAnsi="Cambria Math" w:hint="default"/>
      </w:rPr>
    </w:lvl>
    <w:lvl w:ilvl="3" w:tplc="04100001" w:tentative="1">
      <w:start w:val="1"/>
      <w:numFmt w:val="bullet"/>
      <w:lvlText w:val=""/>
      <w:lvlJc w:val="left"/>
      <w:pPr>
        <w:ind w:left="2940" w:hanging="360"/>
      </w:pPr>
      <w:rPr>
        <w:rFonts w:ascii="Wingdings 3" w:hAnsi="Wingdings 3" w:hint="default"/>
      </w:rPr>
    </w:lvl>
    <w:lvl w:ilvl="4" w:tplc="04100003" w:tentative="1">
      <w:start w:val="1"/>
      <w:numFmt w:val="bullet"/>
      <w:lvlText w:val="o"/>
      <w:lvlJc w:val="left"/>
      <w:pPr>
        <w:ind w:left="3660" w:hanging="360"/>
      </w:pPr>
      <w:rPr>
        <w:rFonts w:ascii="Wingdings" w:hAnsi="Wingdings" w:cs="Wingdings" w:hint="default"/>
      </w:rPr>
    </w:lvl>
    <w:lvl w:ilvl="5" w:tplc="04100005" w:tentative="1">
      <w:start w:val="1"/>
      <w:numFmt w:val="bullet"/>
      <w:lvlText w:val=""/>
      <w:lvlJc w:val="left"/>
      <w:pPr>
        <w:ind w:left="4380" w:hanging="360"/>
      </w:pPr>
      <w:rPr>
        <w:rFonts w:ascii="Cambria Math" w:hAnsi="Cambria Math" w:hint="default"/>
      </w:rPr>
    </w:lvl>
    <w:lvl w:ilvl="6" w:tplc="04100001" w:tentative="1">
      <w:start w:val="1"/>
      <w:numFmt w:val="bullet"/>
      <w:lvlText w:val=""/>
      <w:lvlJc w:val="left"/>
      <w:pPr>
        <w:ind w:left="5100" w:hanging="360"/>
      </w:pPr>
      <w:rPr>
        <w:rFonts w:ascii="Wingdings 3" w:hAnsi="Wingdings 3" w:hint="default"/>
      </w:rPr>
    </w:lvl>
    <w:lvl w:ilvl="7" w:tplc="04100003" w:tentative="1">
      <w:start w:val="1"/>
      <w:numFmt w:val="bullet"/>
      <w:lvlText w:val="o"/>
      <w:lvlJc w:val="left"/>
      <w:pPr>
        <w:ind w:left="5820" w:hanging="360"/>
      </w:pPr>
      <w:rPr>
        <w:rFonts w:ascii="Wingdings" w:hAnsi="Wingdings" w:cs="Wingdings" w:hint="default"/>
      </w:rPr>
    </w:lvl>
    <w:lvl w:ilvl="8" w:tplc="04100005" w:tentative="1">
      <w:start w:val="1"/>
      <w:numFmt w:val="bullet"/>
      <w:lvlText w:val=""/>
      <w:lvlJc w:val="left"/>
      <w:pPr>
        <w:ind w:left="6540" w:hanging="360"/>
      </w:pPr>
      <w:rPr>
        <w:rFonts w:ascii="Cambria Math" w:hAnsi="Cambria Math" w:hint="default"/>
      </w:rPr>
    </w:lvl>
  </w:abstractNum>
  <w:abstractNum w:abstractNumId="42" w15:restartNumberingAfterBreak="0">
    <w:nsid w:val="788B46CE"/>
    <w:multiLevelType w:val="hybridMultilevel"/>
    <w:tmpl w:val="40682BA0"/>
    <w:lvl w:ilvl="0" w:tplc="C46A921C">
      <w:start w:val="1"/>
      <w:numFmt w:val="decimal"/>
      <w:lvlText w:val="%1."/>
      <w:lvlJc w:val="left"/>
      <w:pPr>
        <w:tabs>
          <w:tab w:val="num" w:pos="360"/>
        </w:tabs>
        <w:ind w:left="360" w:hanging="360"/>
      </w:pPr>
      <w:rPr>
        <w:b/>
      </w:rPr>
    </w:lvl>
    <w:lvl w:ilvl="1" w:tplc="41C6DE92">
      <w:start w:val="1"/>
      <w:numFmt w:val="lowerLetter"/>
      <w:lvlText w:val="%2)"/>
      <w:lvlJc w:val="left"/>
      <w:pPr>
        <w:tabs>
          <w:tab w:val="num" w:pos="357"/>
        </w:tabs>
        <w:ind w:left="714" w:hanging="357"/>
      </w:pPr>
      <w:rPr>
        <w:b/>
        <w:i w:val="0"/>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3" w15:restartNumberingAfterBreak="0">
    <w:nsid w:val="7C8E267E"/>
    <w:multiLevelType w:val="hybridMultilevel"/>
    <w:tmpl w:val="42B48A0C"/>
    <w:lvl w:ilvl="0" w:tplc="3BE4EF70">
      <w:start w:val="1"/>
      <w:numFmt w:val="lowerLetter"/>
      <w:lvlText w:val="%1)"/>
      <w:lvlJc w:val="left"/>
      <w:pPr>
        <w:tabs>
          <w:tab w:val="num" w:pos="360"/>
        </w:tabs>
        <w:ind w:left="360" w:hanging="360"/>
      </w:pPr>
      <w:rPr>
        <w:rFonts w:hint="default"/>
        <w:b/>
        <w:i w:val="0"/>
      </w:rPr>
    </w:lvl>
    <w:lvl w:ilvl="1" w:tplc="2BDE61DA">
      <w:start w:val="6"/>
      <w:numFmt w:val="bullet"/>
      <w:lvlText w:val="-"/>
      <w:lvlJc w:val="left"/>
      <w:pPr>
        <w:tabs>
          <w:tab w:val="num" w:pos="360"/>
        </w:tabs>
        <w:ind w:left="360" w:hanging="360"/>
      </w:pPr>
      <w:rPr>
        <w:rFonts w:hint="default"/>
        <w:b/>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C994D3B"/>
    <w:multiLevelType w:val="hybridMultilevel"/>
    <w:tmpl w:val="3BCA1156"/>
    <w:lvl w:ilvl="0" w:tplc="4E904FF0">
      <w:start w:val="1"/>
      <w:numFmt w:val="lowerLetter"/>
      <w:lvlText w:val="%1)"/>
      <w:lvlJc w:val="left"/>
      <w:pPr>
        <w:tabs>
          <w:tab w:val="num" w:pos="360"/>
        </w:tabs>
        <w:ind w:left="360" w:hanging="360"/>
      </w:pPr>
      <w:rPr>
        <w:rFonts w:hint="default"/>
        <w:b/>
        <w:i w:val="0"/>
      </w:rPr>
    </w:lvl>
    <w:lvl w:ilvl="1" w:tplc="9422417E">
      <w:start w:val="5"/>
      <w:numFmt w:val="decimal"/>
      <w:lvlText w:val="%2"/>
      <w:lvlJc w:val="left"/>
      <w:pPr>
        <w:tabs>
          <w:tab w:val="num" w:pos="360"/>
        </w:tabs>
        <w:ind w:left="36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D5E5D8F"/>
    <w:multiLevelType w:val="hybridMultilevel"/>
    <w:tmpl w:val="E89AFC0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13"/>
  </w:num>
  <w:num w:numId="2">
    <w:abstractNumId w:val="30"/>
  </w:num>
  <w:num w:numId="3">
    <w:abstractNumId w:val="42"/>
  </w:num>
  <w:num w:numId="4">
    <w:abstractNumId w:val="3"/>
  </w:num>
  <w:num w:numId="5">
    <w:abstractNumId w:val="35"/>
  </w:num>
  <w:num w:numId="6">
    <w:abstractNumId w:val="24"/>
  </w:num>
  <w:num w:numId="7">
    <w:abstractNumId w:val="28"/>
  </w:num>
  <w:num w:numId="8">
    <w:abstractNumId w:val="5"/>
  </w:num>
  <w:num w:numId="9">
    <w:abstractNumId w:val="9"/>
  </w:num>
  <w:num w:numId="10">
    <w:abstractNumId w:val="37"/>
  </w:num>
  <w:num w:numId="11">
    <w:abstractNumId w:val="14"/>
  </w:num>
  <w:num w:numId="12">
    <w:abstractNumId w:val="29"/>
  </w:num>
  <w:num w:numId="13">
    <w:abstractNumId w:val="31"/>
  </w:num>
  <w:num w:numId="14">
    <w:abstractNumId w:val="20"/>
  </w:num>
  <w:num w:numId="15">
    <w:abstractNumId w:val="44"/>
  </w:num>
  <w:num w:numId="16">
    <w:abstractNumId w:val="19"/>
  </w:num>
  <w:num w:numId="17">
    <w:abstractNumId w:val="39"/>
  </w:num>
  <w:num w:numId="18">
    <w:abstractNumId w:val="26"/>
  </w:num>
  <w:num w:numId="19">
    <w:abstractNumId w:val="43"/>
  </w:num>
  <w:num w:numId="20">
    <w:abstractNumId w:val="25"/>
  </w:num>
  <w:num w:numId="21">
    <w:abstractNumId w:val="6"/>
  </w:num>
  <w:num w:numId="22">
    <w:abstractNumId w:val="22"/>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2"/>
  </w:num>
  <w:num w:numId="26">
    <w:abstractNumId w:val="21"/>
  </w:num>
  <w:num w:numId="27">
    <w:abstractNumId w:val="18"/>
  </w:num>
  <w:num w:numId="28">
    <w:abstractNumId w:val="36"/>
  </w:num>
  <w:num w:numId="29">
    <w:abstractNumId w:val="12"/>
  </w:num>
  <w:num w:numId="30">
    <w:abstractNumId w:val="15"/>
  </w:num>
  <w:num w:numId="31">
    <w:abstractNumId w:val="0"/>
  </w:num>
  <w:num w:numId="32">
    <w:abstractNumId w:val="1"/>
  </w:num>
  <w:num w:numId="33">
    <w:abstractNumId w:val="8"/>
  </w:num>
  <w:num w:numId="34">
    <w:abstractNumId w:val="27"/>
  </w:num>
  <w:num w:numId="35">
    <w:abstractNumId w:val="41"/>
  </w:num>
  <w:num w:numId="36">
    <w:abstractNumId w:val="7"/>
  </w:num>
  <w:num w:numId="37">
    <w:abstractNumId w:val="23"/>
  </w:num>
  <w:num w:numId="38">
    <w:abstractNumId w:val="10"/>
  </w:num>
  <w:num w:numId="39">
    <w:abstractNumId w:val="4"/>
  </w:num>
  <w:num w:numId="40">
    <w:abstractNumId w:val="11"/>
  </w:num>
  <w:num w:numId="41">
    <w:abstractNumId w:val="17"/>
  </w:num>
  <w:num w:numId="42">
    <w:abstractNumId w:val="34"/>
  </w:num>
  <w:num w:numId="43">
    <w:abstractNumId w:val="45"/>
  </w:num>
  <w:num w:numId="44">
    <w:abstractNumId w:val="38"/>
  </w:num>
  <w:num w:numId="45">
    <w:abstractNumId w:val="16"/>
  </w:num>
  <w:num w:numId="46">
    <w:abstractNumId w:val="2"/>
  </w:num>
  <w:num w:numId="47">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9221"/>
    <o:shapelayout v:ext="edit">
      <o:idmap v:ext="edit" data="9"/>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DE"/>
    <w:rsid w:val="00003A13"/>
    <w:rsid w:val="00006E54"/>
    <w:rsid w:val="0000712E"/>
    <w:rsid w:val="00007823"/>
    <w:rsid w:val="00011708"/>
    <w:rsid w:val="000156DB"/>
    <w:rsid w:val="00015F30"/>
    <w:rsid w:val="000179AA"/>
    <w:rsid w:val="00022614"/>
    <w:rsid w:val="00022A44"/>
    <w:rsid w:val="00023E85"/>
    <w:rsid w:val="000247F4"/>
    <w:rsid w:val="0002589D"/>
    <w:rsid w:val="00027703"/>
    <w:rsid w:val="000279F5"/>
    <w:rsid w:val="00030C43"/>
    <w:rsid w:val="000322BC"/>
    <w:rsid w:val="00034501"/>
    <w:rsid w:val="000373E9"/>
    <w:rsid w:val="0004218A"/>
    <w:rsid w:val="0004335D"/>
    <w:rsid w:val="00044D38"/>
    <w:rsid w:val="0004565C"/>
    <w:rsid w:val="00047700"/>
    <w:rsid w:val="00051780"/>
    <w:rsid w:val="00053DEE"/>
    <w:rsid w:val="000570AE"/>
    <w:rsid w:val="00060A68"/>
    <w:rsid w:val="00064B18"/>
    <w:rsid w:val="00070A83"/>
    <w:rsid w:val="00077709"/>
    <w:rsid w:val="00080031"/>
    <w:rsid w:val="000801D8"/>
    <w:rsid w:val="00082F44"/>
    <w:rsid w:val="000900B2"/>
    <w:rsid w:val="000902C2"/>
    <w:rsid w:val="000918A6"/>
    <w:rsid w:val="00093575"/>
    <w:rsid w:val="000A0DD6"/>
    <w:rsid w:val="000B25AB"/>
    <w:rsid w:val="000B2C4E"/>
    <w:rsid w:val="000B3114"/>
    <w:rsid w:val="000B7876"/>
    <w:rsid w:val="000C3D21"/>
    <w:rsid w:val="000C6F66"/>
    <w:rsid w:val="000D0964"/>
    <w:rsid w:val="000D38D5"/>
    <w:rsid w:val="000D51D1"/>
    <w:rsid w:val="000D5E16"/>
    <w:rsid w:val="000D663A"/>
    <w:rsid w:val="000D67EC"/>
    <w:rsid w:val="000E102F"/>
    <w:rsid w:val="000E420E"/>
    <w:rsid w:val="000E74A7"/>
    <w:rsid w:val="000F024C"/>
    <w:rsid w:val="000F3BDD"/>
    <w:rsid w:val="000F613A"/>
    <w:rsid w:val="000F6888"/>
    <w:rsid w:val="000F6E4F"/>
    <w:rsid w:val="000F7254"/>
    <w:rsid w:val="000F7BED"/>
    <w:rsid w:val="00127396"/>
    <w:rsid w:val="001310CE"/>
    <w:rsid w:val="001343F9"/>
    <w:rsid w:val="001363E5"/>
    <w:rsid w:val="00142B7F"/>
    <w:rsid w:val="0014491A"/>
    <w:rsid w:val="00147CCC"/>
    <w:rsid w:val="0015116C"/>
    <w:rsid w:val="001516B0"/>
    <w:rsid w:val="00152DE7"/>
    <w:rsid w:val="00154087"/>
    <w:rsid w:val="00155B92"/>
    <w:rsid w:val="001575F9"/>
    <w:rsid w:val="00157E3F"/>
    <w:rsid w:val="001636C3"/>
    <w:rsid w:val="00164E4E"/>
    <w:rsid w:val="00173D99"/>
    <w:rsid w:val="0018096E"/>
    <w:rsid w:val="00184F95"/>
    <w:rsid w:val="00185D16"/>
    <w:rsid w:val="00192175"/>
    <w:rsid w:val="00192C9C"/>
    <w:rsid w:val="00193967"/>
    <w:rsid w:val="00193A38"/>
    <w:rsid w:val="00197411"/>
    <w:rsid w:val="001A335D"/>
    <w:rsid w:val="001B1604"/>
    <w:rsid w:val="001B7818"/>
    <w:rsid w:val="001C254E"/>
    <w:rsid w:val="001D4322"/>
    <w:rsid w:val="001D489E"/>
    <w:rsid w:val="001D4F2A"/>
    <w:rsid w:val="001D7D80"/>
    <w:rsid w:val="001E1134"/>
    <w:rsid w:val="001E1576"/>
    <w:rsid w:val="001E6AEE"/>
    <w:rsid w:val="001F125D"/>
    <w:rsid w:val="001F450D"/>
    <w:rsid w:val="001F466E"/>
    <w:rsid w:val="0020063C"/>
    <w:rsid w:val="00204562"/>
    <w:rsid w:val="00204B9F"/>
    <w:rsid w:val="002051AB"/>
    <w:rsid w:val="00206636"/>
    <w:rsid w:val="00210195"/>
    <w:rsid w:val="0021171B"/>
    <w:rsid w:val="00214515"/>
    <w:rsid w:val="0021564D"/>
    <w:rsid w:val="0021747B"/>
    <w:rsid w:val="00217AB0"/>
    <w:rsid w:val="00220F93"/>
    <w:rsid w:val="00221653"/>
    <w:rsid w:val="00222AA6"/>
    <w:rsid w:val="00227B26"/>
    <w:rsid w:val="0023342C"/>
    <w:rsid w:val="00235741"/>
    <w:rsid w:val="00237348"/>
    <w:rsid w:val="00240BCD"/>
    <w:rsid w:val="002463B2"/>
    <w:rsid w:val="002466AF"/>
    <w:rsid w:val="0024682A"/>
    <w:rsid w:val="00246D80"/>
    <w:rsid w:val="00250FD3"/>
    <w:rsid w:val="002517FB"/>
    <w:rsid w:val="00252FAD"/>
    <w:rsid w:val="002550C5"/>
    <w:rsid w:val="00256A2A"/>
    <w:rsid w:val="002638BC"/>
    <w:rsid w:val="00264354"/>
    <w:rsid w:val="00265391"/>
    <w:rsid w:val="00270337"/>
    <w:rsid w:val="00270579"/>
    <w:rsid w:val="002762EA"/>
    <w:rsid w:val="00284F20"/>
    <w:rsid w:val="00285517"/>
    <w:rsid w:val="00286F44"/>
    <w:rsid w:val="0029027F"/>
    <w:rsid w:val="0029253D"/>
    <w:rsid w:val="00294289"/>
    <w:rsid w:val="00294DE3"/>
    <w:rsid w:val="00297197"/>
    <w:rsid w:val="00297C12"/>
    <w:rsid w:val="002A11E4"/>
    <w:rsid w:val="002A3BE0"/>
    <w:rsid w:val="002A59C3"/>
    <w:rsid w:val="002A66D4"/>
    <w:rsid w:val="002A7310"/>
    <w:rsid w:val="002A742E"/>
    <w:rsid w:val="002A7745"/>
    <w:rsid w:val="002A79F2"/>
    <w:rsid w:val="002B1A9B"/>
    <w:rsid w:val="002B20DE"/>
    <w:rsid w:val="002B4CBF"/>
    <w:rsid w:val="002B5BBB"/>
    <w:rsid w:val="002C3A57"/>
    <w:rsid w:val="002C4EC3"/>
    <w:rsid w:val="002C704D"/>
    <w:rsid w:val="002D1566"/>
    <w:rsid w:val="002D169E"/>
    <w:rsid w:val="002D2C4D"/>
    <w:rsid w:val="002D4B9F"/>
    <w:rsid w:val="002E2057"/>
    <w:rsid w:val="002E3214"/>
    <w:rsid w:val="002F07B1"/>
    <w:rsid w:val="002F1587"/>
    <w:rsid w:val="002F7B1D"/>
    <w:rsid w:val="00300B4A"/>
    <w:rsid w:val="003016C8"/>
    <w:rsid w:val="00315F1A"/>
    <w:rsid w:val="00321152"/>
    <w:rsid w:val="0032460A"/>
    <w:rsid w:val="003315CC"/>
    <w:rsid w:val="00331D51"/>
    <w:rsid w:val="00342F69"/>
    <w:rsid w:val="0034474E"/>
    <w:rsid w:val="00346D75"/>
    <w:rsid w:val="0034747E"/>
    <w:rsid w:val="003501A6"/>
    <w:rsid w:val="00350AA5"/>
    <w:rsid w:val="00354F1C"/>
    <w:rsid w:val="00355EF8"/>
    <w:rsid w:val="00356F4D"/>
    <w:rsid w:val="00364692"/>
    <w:rsid w:val="00364EBA"/>
    <w:rsid w:val="00365192"/>
    <w:rsid w:val="00365F72"/>
    <w:rsid w:val="00370604"/>
    <w:rsid w:val="003719CF"/>
    <w:rsid w:val="00372770"/>
    <w:rsid w:val="00373CAA"/>
    <w:rsid w:val="003777E3"/>
    <w:rsid w:val="00384A04"/>
    <w:rsid w:val="00384EEF"/>
    <w:rsid w:val="003859DF"/>
    <w:rsid w:val="00386459"/>
    <w:rsid w:val="00386685"/>
    <w:rsid w:val="00390C64"/>
    <w:rsid w:val="00393274"/>
    <w:rsid w:val="003935F2"/>
    <w:rsid w:val="00394BAB"/>
    <w:rsid w:val="00396D8B"/>
    <w:rsid w:val="00396DCA"/>
    <w:rsid w:val="0039772B"/>
    <w:rsid w:val="003979B5"/>
    <w:rsid w:val="003A1F36"/>
    <w:rsid w:val="003A3321"/>
    <w:rsid w:val="003A5F5B"/>
    <w:rsid w:val="003A633B"/>
    <w:rsid w:val="003A7B70"/>
    <w:rsid w:val="003B4C1C"/>
    <w:rsid w:val="003C1B9D"/>
    <w:rsid w:val="003C4800"/>
    <w:rsid w:val="003C4997"/>
    <w:rsid w:val="003C52BD"/>
    <w:rsid w:val="003C549A"/>
    <w:rsid w:val="003C7DD0"/>
    <w:rsid w:val="003D1CD1"/>
    <w:rsid w:val="003D7830"/>
    <w:rsid w:val="003E1C2B"/>
    <w:rsid w:val="003E2956"/>
    <w:rsid w:val="003E46FB"/>
    <w:rsid w:val="003E4E73"/>
    <w:rsid w:val="003F25B5"/>
    <w:rsid w:val="003F3EB8"/>
    <w:rsid w:val="003F7BF8"/>
    <w:rsid w:val="00402E40"/>
    <w:rsid w:val="00403E2B"/>
    <w:rsid w:val="004051CC"/>
    <w:rsid w:val="00405CF8"/>
    <w:rsid w:val="00405E30"/>
    <w:rsid w:val="004112BE"/>
    <w:rsid w:val="004116C2"/>
    <w:rsid w:val="00413FA3"/>
    <w:rsid w:val="004167C2"/>
    <w:rsid w:val="00417A4B"/>
    <w:rsid w:val="00421BF1"/>
    <w:rsid w:val="0042264F"/>
    <w:rsid w:val="0042382E"/>
    <w:rsid w:val="00426415"/>
    <w:rsid w:val="00430D10"/>
    <w:rsid w:val="0043188E"/>
    <w:rsid w:val="00431FFA"/>
    <w:rsid w:val="0043213A"/>
    <w:rsid w:val="004370E6"/>
    <w:rsid w:val="004404E8"/>
    <w:rsid w:val="00443B3D"/>
    <w:rsid w:val="00443D94"/>
    <w:rsid w:val="00444D01"/>
    <w:rsid w:val="00445E85"/>
    <w:rsid w:val="00456020"/>
    <w:rsid w:val="00456430"/>
    <w:rsid w:val="004576E6"/>
    <w:rsid w:val="004615D7"/>
    <w:rsid w:val="004700EA"/>
    <w:rsid w:val="00471AE0"/>
    <w:rsid w:val="0047443B"/>
    <w:rsid w:val="004751C6"/>
    <w:rsid w:val="00477B6D"/>
    <w:rsid w:val="00480507"/>
    <w:rsid w:val="00480F4B"/>
    <w:rsid w:val="00481DDA"/>
    <w:rsid w:val="00490DA8"/>
    <w:rsid w:val="00492BC2"/>
    <w:rsid w:val="00493F6C"/>
    <w:rsid w:val="00497CF3"/>
    <w:rsid w:val="004A2EDF"/>
    <w:rsid w:val="004A3292"/>
    <w:rsid w:val="004A4DB6"/>
    <w:rsid w:val="004A56BC"/>
    <w:rsid w:val="004B0FCD"/>
    <w:rsid w:val="004B318E"/>
    <w:rsid w:val="004B40D4"/>
    <w:rsid w:val="004B46F9"/>
    <w:rsid w:val="004C2203"/>
    <w:rsid w:val="004C25BE"/>
    <w:rsid w:val="004C3ACF"/>
    <w:rsid w:val="004C4446"/>
    <w:rsid w:val="004D0025"/>
    <w:rsid w:val="004D26D4"/>
    <w:rsid w:val="004D4B00"/>
    <w:rsid w:val="004D4D28"/>
    <w:rsid w:val="004E04C6"/>
    <w:rsid w:val="004E0AE0"/>
    <w:rsid w:val="004E0DE1"/>
    <w:rsid w:val="004E1CD2"/>
    <w:rsid w:val="004E2D04"/>
    <w:rsid w:val="004E43B5"/>
    <w:rsid w:val="004E4667"/>
    <w:rsid w:val="004E6F35"/>
    <w:rsid w:val="004E792B"/>
    <w:rsid w:val="004F090C"/>
    <w:rsid w:val="00507B54"/>
    <w:rsid w:val="00510538"/>
    <w:rsid w:val="0051272E"/>
    <w:rsid w:val="00512EF9"/>
    <w:rsid w:val="00521C7D"/>
    <w:rsid w:val="00523344"/>
    <w:rsid w:val="005258D9"/>
    <w:rsid w:val="00526F98"/>
    <w:rsid w:val="005271B9"/>
    <w:rsid w:val="00527976"/>
    <w:rsid w:val="005305A3"/>
    <w:rsid w:val="00531E0A"/>
    <w:rsid w:val="00531EC7"/>
    <w:rsid w:val="005328D5"/>
    <w:rsid w:val="0053689B"/>
    <w:rsid w:val="00537E5A"/>
    <w:rsid w:val="00541393"/>
    <w:rsid w:val="00542827"/>
    <w:rsid w:val="005429B7"/>
    <w:rsid w:val="0054457A"/>
    <w:rsid w:val="00544AE2"/>
    <w:rsid w:val="00545445"/>
    <w:rsid w:val="00557DEA"/>
    <w:rsid w:val="005632BB"/>
    <w:rsid w:val="00570A4F"/>
    <w:rsid w:val="0058086F"/>
    <w:rsid w:val="0058091E"/>
    <w:rsid w:val="00582198"/>
    <w:rsid w:val="0058230B"/>
    <w:rsid w:val="00582D81"/>
    <w:rsid w:val="00583907"/>
    <w:rsid w:val="00587128"/>
    <w:rsid w:val="00591740"/>
    <w:rsid w:val="005917C8"/>
    <w:rsid w:val="0059476C"/>
    <w:rsid w:val="00594BB0"/>
    <w:rsid w:val="005952C9"/>
    <w:rsid w:val="00595C4C"/>
    <w:rsid w:val="00595ECF"/>
    <w:rsid w:val="00597F52"/>
    <w:rsid w:val="005A02FE"/>
    <w:rsid w:val="005A208A"/>
    <w:rsid w:val="005A3DDE"/>
    <w:rsid w:val="005A58DD"/>
    <w:rsid w:val="005A6DA6"/>
    <w:rsid w:val="005A7AA1"/>
    <w:rsid w:val="005B37EB"/>
    <w:rsid w:val="005B3E14"/>
    <w:rsid w:val="005B497D"/>
    <w:rsid w:val="005B4E54"/>
    <w:rsid w:val="005B51AE"/>
    <w:rsid w:val="005B61AF"/>
    <w:rsid w:val="005C273F"/>
    <w:rsid w:val="005C4599"/>
    <w:rsid w:val="005C49F0"/>
    <w:rsid w:val="005C4B0A"/>
    <w:rsid w:val="005D1B27"/>
    <w:rsid w:val="005D3051"/>
    <w:rsid w:val="005D742F"/>
    <w:rsid w:val="005E038F"/>
    <w:rsid w:val="005E178D"/>
    <w:rsid w:val="005E2BDC"/>
    <w:rsid w:val="005E4491"/>
    <w:rsid w:val="005E4EF9"/>
    <w:rsid w:val="005F7311"/>
    <w:rsid w:val="0060132B"/>
    <w:rsid w:val="00601654"/>
    <w:rsid w:val="00603B90"/>
    <w:rsid w:val="00603D2F"/>
    <w:rsid w:val="00603FBE"/>
    <w:rsid w:val="006044E1"/>
    <w:rsid w:val="00606CC6"/>
    <w:rsid w:val="006178B6"/>
    <w:rsid w:val="00617AA5"/>
    <w:rsid w:val="006228AB"/>
    <w:rsid w:val="00624C50"/>
    <w:rsid w:val="006315BE"/>
    <w:rsid w:val="00631A46"/>
    <w:rsid w:val="00631C69"/>
    <w:rsid w:val="0063224A"/>
    <w:rsid w:val="00634D3B"/>
    <w:rsid w:val="00635B47"/>
    <w:rsid w:val="00637C83"/>
    <w:rsid w:val="006443CB"/>
    <w:rsid w:val="0064761F"/>
    <w:rsid w:val="00651557"/>
    <w:rsid w:val="00651C25"/>
    <w:rsid w:val="006525DF"/>
    <w:rsid w:val="006527F3"/>
    <w:rsid w:val="00652847"/>
    <w:rsid w:val="006529FA"/>
    <w:rsid w:val="00654110"/>
    <w:rsid w:val="00661FFB"/>
    <w:rsid w:val="00663A5A"/>
    <w:rsid w:val="00663DBA"/>
    <w:rsid w:val="00666DA4"/>
    <w:rsid w:val="006726D4"/>
    <w:rsid w:val="00674AAC"/>
    <w:rsid w:val="006753EC"/>
    <w:rsid w:val="006802FF"/>
    <w:rsid w:val="006810D3"/>
    <w:rsid w:val="00685E67"/>
    <w:rsid w:val="006870E5"/>
    <w:rsid w:val="00687905"/>
    <w:rsid w:val="00687A9F"/>
    <w:rsid w:val="00693299"/>
    <w:rsid w:val="00693A4C"/>
    <w:rsid w:val="00693B23"/>
    <w:rsid w:val="0069464A"/>
    <w:rsid w:val="0069584B"/>
    <w:rsid w:val="00696292"/>
    <w:rsid w:val="006A0517"/>
    <w:rsid w:val="006A7165"/>
    <w:rsid w:val="006B3F19"/>
    <w:rsid w:val="006B54B8"/>
    <w:rsid w:val="006C51EF"/>
    <w:rsid w:val="006D1910"/>
    <w:rsid w:val="006D5B42"/>
    <w:rsid w:val="006D7C54"/>
    <w:rsid w:val="006E0994"/>
    <w:rsid w:val="006E1FBB"/>
    <w:rsid w:val="006E29C6"/>
    <w:rsid w:val="006E3071"/>
    <w:rsid w:val="006E47FF"/>
    <w:rsid w:val="006E701F"/>
    <w:rsid w:val="006F202F"/>
    <w:rsid w:val="006F2D23"/>
    <w:rsid w:val="006F525B"/>
    <w:rsid w:val="006F5DE2"/>
    <w:rsid w:val="006F62E6"/>
    <w:rsid w:val="007001D1"/>
    <w:rsid w:val="007007A5"/>
    <w:rsid w:val="00700962"/>
    <w:rsid w:val="007025DC"/>
    <w:rsid w:val="00703C36"/>
    <w:rsid w:val="00703ED9"/>
    <w:rsid w:val="00705AB6"/>
    <w:rsid w:val="00722506"/>
    <w:rsid w:val="00722E4D"/>
    <w:rsid w:val="00723024"/>
    <w:rsid w:val="007242E4"/>
    <w:rsid w:val="0072538D"/>
    <w:rsid w:val="007254C4"/>
    <w:rsid w:val="00726844"/>
    <w:rsid w:val="00726F7B"/>
    <w:rsid w:val="007278FC"/>
    <w:rsid w:val="0073397B"/>
    <w:rsid w:val="00743EE8"/>
    <w:rsid w:val="00745198"/>
    <w:rsid w:val="00754782"/>
    <w:rsid w:val="00756B8C"/>
    <w:rsid w:val="00757B0B"/>
    <w:rsid w:val="00761484"/>
    <w:rsid w:val="00763EA3"/>
    <w:rsid w:val="00765A63"/>
    <w:rsid w:val="0077116E"/>
    <w:rsid w:val="00773AB2"/>
    <w:rsid w:val="0077661D"/>
    <w:rsid w:val="007804B4"/>
    <w:rsid w:val="00780EE9"/>
    <w:rsid w:val="00786E33"/>
    <w:rsid w:val="00792121"/>
    <w:rsid w:val="0079422C"/>
    <w:rsid w:val="00794758"/>
    <w:rsid w:val="007A221B"/>
    <w:rsid w:val="007A6D59"/>
    <w:rsid w:val="007B2607"/>
    <w:rsid w:val="007B5D9F"/>
    <w:rsid w:val="007B5EB6"/>
    <w:rsid w:val="007C20B8"/>
    <w:rsid w:val="007C2692"/>
    <w:rsid w:val="007C3D4D"/>
    <w:rsid w:val="007C4241"/>
    <w:rsid w:val="007C62A9"/>
    <w:rsid w:val="007C6505"/>
    <w:rsid w:val="007D0A10"/>
    <w:rsid w:val="007D3570"/>
    <w:rsid w:val="007E4CE1"/>
    <w:rsid w:val="007E518B"/>
    <w:rsid w:val="007E55C0"/>
    <w:rsid w:val="007F0296"/>
    <w:rsid w:val="007F1AEF"/>
    <w:rsid w:val="007F3A04"/>
    <w:rsid w:val="007F3A3A"/>
    <w:rsid w:val="007F4A65"/>
    <w:rsid w:val="0080153F"/>
    <w:rsid w:val="00803EA3"/>
    <w:rsid w:val="00804A17"/>
    <w:rsid w:val="00807188"/>
    <w:rsid w:val="0081093C"/>
    <w:rsid w:val="00810D08"/>
    <w:rsid w:val="00812093"/>
    <w:rsid w:val="00814D03"/>
    <w:rsid w:val="00820883"/>
    <w:rsid w:val="008356AB"/>
    <w:rsid w:val="00835D23"/>
    <w:rsid w:val="00836BC8"/>
    <w:rsid w:val="00840A6B"/>
    <w:rsid w:val="008463E3"/>
    <w:rsid w:val="00850A1F"/>
    <w:rsid w:val="00852451"/>
    <w:rsid w:val="00860E6D"/>
    <w:rsid w:val="00874F17"/>
    <w:rsid w:val="00877C66"/>
    <w:rsid w:val="00877DAA"/>
    <w:rsid w:val="0089096F"/>
    <w:rsid w:val="008946B4"/>
    <w:rsid w:val="008A49F8"/>
    <w:rsid w:val="008A55DC"/>
    <w:rsid w:val="008A6B8B"/>
    <w:rsid w:val="008A6D86"/>
    <w:rsid w:val="008B4EF9"/>
    <w:rsid w:val="008B7206"/>
    <w:rsid w:val="008C2C03"/>
    <w:rsid w:val="008C6C2A"/>
    <w:rsid w:val="008C7031"/>
    <w:rsid w:val="008F5499"/>
    <w:rsid w:val="008F7976"/>
    <w:rsid w:val="008F7B27"/>
    <w:rsid w:val="008F7D31"/>
    <w:rsid w:val="00904305"/>
    <w:rsid w:val="009054FC"/>
    <w:rsid w:val="00905930"/>
    <w:rsid w:val="00906D78"/>
    <w:rsid w:val="00907C8A"/>
    <w:rsid w:val="00916862"/>
    <w:rsid w:val="0092125B"/>
    <w:rsid w:val="00922C72"/>
    <w:rsid w:val="00926692"/>
    <w:rsid w:val="009270BB"/>
    <w:rsid w:val="009318D4"/>
    <w:rsid w:val="0093388C"/>
    <w:rsid w:val="00935F4C"/>
    <w:rsid w:val="009364C3"/>
    <w:rsid w:val="0094304A"/>
    <w:rsid w:val="0094337F"/>
    <w:rsid w:val="00943ED7"/>
    <w:rsid w:val="009502F8"/>
    <w:rsid w:val="00950673"/>
    <w:rsid w:val="0095068A"/>
    <w:rsid w:val="00950F5A"/>
    <w:rsid w:val="00953EF6"/>
    <w:rsid w:val="0095477A"/>
    <w:rsid w:val="00954EE3"/>
    <w:rsid w:val="00955F5D"/>
    <w:rsid w:val="00956AED"/>
    <w:rsid w:val="0095745A"/>
    <w:rsid w:val="00957BEC"/>
    <w:rsid w:val="00957D65"/>
    <w:rsid w:val="009607C9"/>
    <w:rsid w:val="00961711"/>
    <w:rsid w:val="00963C9D"/>
    <w:rsid w:val="00964BD1"/>
    <w:rsid w:val="00966F1B"/>
    <w:rsid w:val="00967BA4"/>
    <w:rsid w:val="0097009E"/>
    <w:rsid w:val="00974E17"/>
    <w:rsid w:val="00980633"/>
    <w:rsid w:val="0098092E"/>
    <w:rsid w:val="00981571"/>
    <w:rsid w:val="009857C8"/>
    <w:rsid w:val="00985C78"/>
    <w:rsid w:val="00986305"/>
    <w:rsid w:val="00990927"/>
    <w:rsid w:val="00993ADD"/>
    <w:rsid w:val="00993C58"/>
    <w:rsid w:val="00997989"/>
    <w:rsid w:val="009A54C8"/>
    <w:rsid w:val="009A61A2"/>
    <w:rsid w:val="009A61F4"/>
    <w:rsid w:val="009A7389"/>
    <w:rsid w:val="009B0D17"/>
    <w:rsid w:val="009B212A"/>
    <w:rsid w:val="009B2DFC"/>
    <w:rsid w:val="009C0629"/>
    <w:rsid w:val="009C27AE"/>
    <w:rsid w:val="009C786F"/>
    <w:rsid w:val="009D0592"/>
    <w:rsid w:val="009D36AF"/>
    <w:rsid w:val="009E1155"/>
    <w:rsid w:val="009E22A1"/>
    <w:rsid w:val="009E5F27"/>
    <w:rsid w:val="009E7DD9"/>
    <w:rsid w:val="009F538E"/>
    <w:rsid w:val="00A00263"/>
    <w:rsid w:val="00A026AF"/>
    <w:rsid w:val="00A02EF6"/>
    <w:rsid w:val="00A03728"/>
    <w:rsid w:val="00A10086"/>
    <w:rsid w:val="00A11AE5"/>
    <w:rsid w:val="00A147CD"/>
    <w:rsid w:val="00A153F0"/>
    <w:rsid w:val="00A1742F"/>
    <w:rsid w:val="00A206F1"/>
    <w:rsid w:val="00A207F4"/>
    <w:rsid w:val="00A20EF2"/>
    <w:rsid w:val="00A25B48"/>
    <w:rsid w:val="00A26BA2"/>
    <w:rsid w:val="00A27D66"/>
    <w:rsid w:val="00A444E0"/>
    <w:rsid w:val="00A52AEB"/>
    <w:rsid w:val="00A60DAC"/>
    <w:rsid w:val="00A63321"/>
    <w:rsid w:val="00A6485A"/>
    <w:rsid w:val="00A7049A"/>
    <w:rsid w:val="00A808C9"/>
    <w:rsid w:val="00A84E9C"/>
    <w:rsid w:val="00A86262"/>
    <w:rsid w:val="00A86B03"/>
    <w:rsid w:val="00A91CA4"/>
    <w:rsid w:val="00AA3497"/>
    <w:rsid w:val="00AA4E87"/>
    <w:rsid w:val="00AA59ED"/>
    <w:rsid w:val="00AA6C2D"/>
    <w:rsid w:val="00AB0CA1"/>
    <w:rsid w:val="00AB1723"/>
    <w:rsid w:val="00AB258D"/>
    <w:rsid w:val="00AB520C"/>
    <w:rsid w:val="00AB605C"/>
    <w:rsid w:val="00AC06E6"/>
    <w:rsid w:val="00AC53FD"/>
    <w:rsid w:val="00AC573B"/>
    <w:rsid w:val="00AD0803"/>
    <w:rsid w:val="00AD2A53"/>
    <w:rsid w:val="00AD3DDD"/>
    <w:rsid w:val="00AD727A"/>
    <w:rsid w:val="00AE36BB"/>
    <w:rsid w:val="00AE3BF4"/>
    <w:rsid w:val="00AE3BFE"/>
    <w:rsid w:val="00AE5FEE"/>
    <w:rsid w:val="00AE6E2D"/>
    <w:rsid w:val="00AF0905"/>
    <w:rsid w:val="00B0293D"/>
    <w:rsid w:val="00B029F5"/>
    <w:rsid w:val="00B03850"/>
    <w:rsid w:val="00B04928"/>
    <w:rsid w:val="00B061BF"/>
    <w:rsid w:val="00B15AA1"/>
    <w:rsid w:val="00B20E41"/>
    <w:rsid w:val="00B21009"/>
    <w:rsid w:val="00B230DB"/>
    <w:rsid w:val="00B23194"/>
    <w:rsid w:val="00B242B8"/>
    <w:rsid w:val="00B24FF9"/>
    <w:rsid w:val="00B27AF7"/>
    <w:rsid w:val="00B30D0E"/>
    <w:rsid w:val="00B311CA"/>
    <w:rsid w:val="00B31659"/>
    <w:rsid w:val="00B32CD3"/>
    <w:rsid w:val="00B34932"/>
    <w:rsid w:val="00B357AB"/>
    <w:rsid w:val="00B40D04"/>
    <w:rsid w:val="00B41A2B"/>
    <w:rsid w:val="00B42F83"/>
    <w:rsid w:val="00B45D3E"/>
    <w:rsid w:val="00B4759E"/>
    <w:rsid w:val="00B50ACB"/>
    <w:rsid w:val="00B63E23"/>
    <w:rsid w:val="00B63EAC"/>
    <w:rsid w:val="00B6591B"/>
    <w:rsid w:val="00B66610"/>
    <w:rsid w:val="00B7258D"/>
    <w:rsid w:val="00B72EDD"/>
    <w:rsid w:val="00B75CA7"/>
    <w:rsid w:val="00B841B4"/>
    <w:rsid w:val="00B95AFA"/>
    <w:rsid w:val="00BA0550"/>
    <w:rsid w:val="00BA50FF"/>
    <w:rsid w:val="00BA56C1"/>
    <w:rsid w:val="00BA5875"/>
    <w:rsid w:val="00BB1869"/>
    <w:rsid w:val="00BB6C60"/>
    <w:rsid w:val="00BC0CED"/>
    <w:rsid w:val="00BC5194"/>
    <w:rsid w:val="00BC5C3C"/>
    <w:rsid w:val="00BD1A22"/>
    <w:rsid w:val="00BD2446"/>
    <w:rsid w:val="00BD2709"/>
    <w:rsid w:val="00BD65DF"/>
    <w:rsid w:val="00BD6FA1"/>
    <w:rsid w:val="00BE0AB0"/>
    <w:rsid w:val="00BE3067"/>
    <w:rsid w:val="00BE31CF"/>
    <w:rsid w:val="00BE3F39"/>
    <w:rsid w:val="00BE64AB"/>
    <w:rsid w:val="00BE657C"/>
    <w:rsid w:val="00BF1F3F"/>
    <w:rsid w:val="00BF3599"/>
    <w:rsid w:val="00C024A3"/>
    <w:rsid w:val="00C04E56"/>
    <w:rsid w:val="00C067E8"/>
    <w:rsid w:val="00C12C1B"/>
    <w:rsid w:val="00C13351"/>
    <w:rsid w:val="00C1566B"/>
    <w:rsid w:val="00C2061B"/>
    <w:rsid w:val="00C20C1E"/>
    <w:rsid w:val="00C2216D"/>
    <w:rsid w:val="00C236C2"/>
    <w:rsid w:val="00C25DD2"/>
    <w:rsid w:val="00C269E2"/>
    <w:rsid w:val="00C32BD8"/>
    <w:rsid w:val="00C346EE"/>
    <w:rsid w:val="00C44614"/>
    <w:rsid w:val="00C5090E"/>
    <w:rsid w:val="00C52970"/>
    <w:rsid w:val="00C561AE"/>
    <w:rsid w:val="00C57F8E"/>
    <w:rsid w:val="00C61095"/>
    <w:rsid w:val="00C61B93"/>
    <w:rsid w:val="00C61CF5"/>
    <w:rsid w:val="00C62F93"/>
    <w:rsid w:val="00C647F1"/>
    <w:rsid w:val="00C67EFB"/>
    <w:rsid w:val="00C7080B"/>
    <w:rsid w:val="00C733E3"/>
    <w:rsid w:val="00C75A21"/>
    <w:rsid w:val="00C8005A"/>
    <w:rsid w:val="00C826B5"/>
    <w:rsid w:val="00C82ACF"/>
    <w:rsid w:val="00C85EDC"/>
    <w:rsid w:val="00C87C69"/>
    <w:rsid w:val="00C9215F"/>
    <w:rsid w:val="00C92974"/>
    <w:rsid w:val="00CA0068"/>
    <w:rsid w:val="00CA0225"/>
    <w:rsid w:val="00CA2B57"/>
    <w:rsid w:val="00CA2ED6"/>
    <w:rsid w:val="00CA3A7D"/>
    <w:rsid w:val="00CA430E"/>
    <w:rsid w:val="00CA5581"/>
    <w:rsid w:val="00CB1E06"/>
    <w:rsid w:val="00CB30F7"/>
    <w:rsid w:val="00CB4114"/>
    <w:rsid w:val="00CC190D"/>
    <w:rsid w:val="00CC2DE5"/>
    <w:rsid w:val="00CC3393"/>
    <w:rsid w:val="00CC7E43"/>
    <w:rsid w:val="00CD1F72"/>
    <w:rsid w:val="00CD33E4"/>
    <w:rsid w:val="00CD42C3"/>
    <w:rsid w:val="00CE03E2"/>
    <w:rsid w:val="00CE13AB"/>
    <w:rsid w:val="00CE4ECB"/>
    <w:rsid w:val="00CE518E"/>
    <w:rsid w:val="00CE5CC3"/>
    <w:rsid w:val="00CE7524"/>
    <w:rsid w:val="00CE7D94"/>
    <w:rsid w:val="00CF0708"/>
    <w:rsid w:val="00D04AFA"/>
    <w:rsid w:val="00D10EEF"/>
    <w:rsid w:val="00D10FB5"/>
    <w:rsid w:val="00D155AD"/>
    <w:rsid w:val="00D16329"/>
    <w:rsid w:val="00D16C3C"/>
    <w:rsid w:val="00D227AB"/>
    <w:rsid w:val="00D24F4A"/>
    <w:rsid w:val="00D2746F"/>
    <w:rsid w:val="00D33325"/>
    <w:rsid w:val="00D341F0"/>
    <w:rsid w:val="00D34ED1"/>
    <w:rsid w:val="00D41C43"/>
    <w:rsid w:val="00D41FEA"/>
    <w:rsid w:val="00D51AC0"/>
    <w:rsid w:val="00D53555"/>
    <w:rsid w:val="00D57035"/>
    <w:rsid w:val="00D67E6E"/>
    <w:rsid w:val="00D74044"/>
    <w:rsid w:val="00D74C83"/>
    <w:rsid w:val="00D76AC9"/>
    <w:rsid w:val="00D77AD3"/>
    <w:rsid w:val="00D821AD"/>
    <w:rsid w:val="00D843A3"/>
    <w:rsid w:val="00D90465"/>
    <w:rsid w:val="00D9740E"/>
    <w:rsid w:val="00DA03A2"/>
    <w:rsid w:val="00DA10AB"/>
    <w:rsid w:val="00DA1107"/>
    <w:rsid w:val="00DA5892"/>
    <w:rsid w:val="00DB4346"/>
    <w:rsid w:val="00DB5975"/>
    <w:rsid w:val="00DC1349"/>
    <w:rsid w:val="00DC35C8"/>
    <w:rsid w:val="00DC408C"/>
    <w:rsid w:val="00DC6549"/>
    <w:rsid w:val="00DD0F89"/>
    <w:rsid w:val="00DD1DF8"/>
    <w:rsid w:val="00DD61AE"/>
    <w:rsid w:val="00DE0E04"/>
    <w:rsid w:val="00DE0E26"/>
    <w:rsid w:val="00DE2E1C"/>
    <w:rsid w:val="00DE3B22"/>
    <w:rsid w:val="00DF0A7B"/>
    <w:rsid w:val="00DF4A23"/>
    <w:rsid w:val="00DF4CAC"/>
    <w:rsid w:val="00DF4F67"/>
    <w:rsid w:val="00E00F98"/>
    <w:rsid w:val="00E01236"/>
    <w:rsid w:val="00E02492"/>
    <w:rsid w:val="00E02C53"/>
    <w:rsid w:val="00E03872"/>
    <w:rsid w:val="00E039C1"/>
    <w:rsid w:val="00E04050"/>
    <w:rsid w:val="00E06399"/>
    <w:rsid w:val="00E16254"/>
    <w:rsid w:val="00E168D4"/>
    <w:rsid w:val="00E22709"/>
    <w:rsid w:val="00E22BCD"/>
    <w:rsid w:val="00E25382"/>
    <w:rsid w:val="00E25F92"/>
    <w:rsid w:val="00E26368"/>
    <w:rsid w:val="00E27E51"/>
    <w:rsid w:val="00E318FC"/>
    <w:rsid w:val="00E334CD"/>
    <w:rsid w:val="00E33D09"/>
    <w:rsid w:val="00E37661"/>
    <w:rsid w:val="00E37892"/>
    <w:rsid w:val="00E37A94"/>
    <w:rsid w:val="00E412B7"/>
    <w:rsid w:val="00E415E9"/>
    <w:rsid w:val="00E47BD6"/>
    <w:rsid w:val="00E52CC2"/>
    <w:rsid w:val="00E537D8"/>
    <w:rsid w:val="00E56D8B"/>
    <w:rsid w:val="00E578C8"/>
    <w:rsid w:val="00E61CBE"/>
    <w:rsid w:val="00E64647"/>
    <w:rsid w:val="00E73EC7"/>
    <w:rsid w:val="00E75552"/>
    <w:rsid w:val="00E75600"/>
    <w:rsid w:val="00E80409"/>
    <w:rsid w:val="00E81A73"/>
    <w:rsid w:val="00E92186"/>
    <w:rsid w:val="00E97524"/>
    <w:rsid w:val="00EA350C"/>
    <w:rsid w:val="00EA63E8"/>
    <w:rsid w:val="00EA6409"/>
    <w:rsid w:val="00EB2257"/>
    <w:rsid w:val="00EB2399"/>
    <w:rsid w:val="00EB3BCD"/>
    <w:rsid w:val="00EB4AF6"/>
    <w:rsid w:val="00EB7C8B"/>
    <w:rsid w:val="00EC1F92"/>
    <w:rsid w:val="00EC5743"/>
    <w:rsid w:val="00EC64FD"/>
    <w:rsid w:val="00ED18D5"/>
    <w:rsid w:val="00ED2A6E"/>
    <w:rsid w:val="00EE0DC9"/>
    <w:rsid w:val="00EE0E40"/>
    <w:rsid w:val="00EE353C"/>
    <w:rsid w:val="00EE3582"/>
    <w:rsid w:val="00EE7549"/>
    <w:rsid w:val="00EF2543"/>
    <w:rsid w:val="00EF3CEA"/>
    <w:rsid w:val="00EF4E0A"/>
    <w:rsid w:val="00F0291C"/>
    <w:rsid w:val="00F05BEF"/>
    <w:rsid w:val="00F07BFB"/>
    <w:rsid w:val="00F103CE"/>
    <w:rsid w:val="00F126FD"/>
    <w:rsid w:val="00F1527A"/>
    <w:rsid w:val="00F20E1B"/>
    <w:rsid w:val="00F26698"/>
    <w:rsid w:val="00F30AD7"/>
    <w:rsid w:val="00F30C82"/>
    <w:rsid w:val="00F31E2F"/>
    <w:rsid w:val="00F3243D"/>
    <w:rsid w:val="00F34FE6"/>
    <w:rsid w:val="00F361EA"/>
    <w:rsid w:val="00F37785"/>
    <w:rsid w:val="00F4056E"/>
    <w:rsid w:val="00F432D5"/>
    <w:rsid w:val="00F435C8"/>
    <w:rsid w:val="00F44344"/>
    <w:rsid w:val="00F443A1"/>
    <w:rsid w:val="00F47D7D"/>
    <w:rsid w:val="00F522E6"/>
    <w:rsid w:val="00F52D9D"/>
    <w:rsid w:val="00F53476"/>
    <w:rsid w:val="00F540D9"/>
    <w:rsid w:val="00F578E3"/>
    <w:rsid w:val="00F62EF0"/>
    <w:rsid w:val="00F649D2"/>
    <w:rsid w:val="00F67177"/>
    <w:rsid w:val="00F759BD"/>
    <w:rsid w:val="00F75DF4"/>
    <w:rsid w:val="00F76583"/>
    <w:rsid w:val="00F76DC5"/>
    <w:rsid w:val="00F852E7"/>
    <w:rsid w:val="00F86FDC"/>
    <w:rsid w:val="00F878D5"/>
    <w:rsid w:val="00F900D2"/>
    <w:rsid w:val="00F9208C"/>
    <w:rsid w:val="00F927F6"/>
    <w:rsid w:val="00FA5D75"/>
    <w:rsid w:val="00FA66DB"/>
    <w:rsid w:val="00FB3049"/>
    <w:rsid w:val="00FB3B24"/>
    <w:rsid w:val="00FB6B88"/>
    <w:rsid w:val="00FC2EA4"/>
    <w:rsid w:val="00FC2FC8"/>
    <w:rsid w:val="00FC4A29"/>
    <w:rsid w:val="00FD1C0B"/>
    <w:rsid w:val="00FD3701"/>
    <w:rsid w:val="00FD50A4"/>
    <w:rsid w:val="00FD51E9"/>
    <w:rsid w:val="00FE2C67"/>
    <w:rsid w:val="00FE2FBD"/>
    <w:rsid w:val="00FE3E42"/>
    <w:rsid w:val="00FE47BB"/>
    <w:rsid w:val="00FF5991"/>
    <w:rsid w:val="00FF5D2C"/>
    <w:rsid w:val="00FF6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9221"/>
    <o:shapelayout v:ext="edit">
      <o:idmap v:ext="edit" data="1"/>
    </o:shapelayout>
  </w:shapeDefaults>
  <w:decimalSymbol w:val=","/>
  <w:listSeparator w:val=";"/>
  <w14:docId w14:val="50D4BAF9"/>
  <w15:chartTrackingRefBased/>
  <w15:docId w15:val="{200D43AB-CDC2-4EAC-9954-052216C4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spacing w:line="360" w:lineRule="atLeast"/>
      <w:ind w:left="1418" w:right="447"/>
      <w:jc w:val="center"/>
      <w:outlineLvl w:val="0"/>
    </w:pPr>
    <w:rPr>
      <w:rFonts w:ascii="Times" w:hAnsi="Times"/>
      <w:b/>
      <w:sz w:val="24"/>
    </w:rPr>
  </w:style>
  <w:style w:type="paragraph" w:styleId="Titolo2">
    <w:name w:val="heading 2"/>
    <w:basedOn w:val="Normale"/>
    <w:next w:val="Normale"/>
    <w:qFormat/>
    <w:pPr>
      <w:keepNext/>
      <w:tabs>
        <w:tab w:val="left" w:pos="-3174"/>
        <w:tab w:val="left" w:pos="-2754"/>
        <w:tab w:val="left" w:pos="-2328"/>
        <w:tab w:val="left" w:pos="-1902"/>
        <w:tab w:val="left" w:pos="-1476"/>
        <w:tab w:val="left" w:pos="-1050"/>
        <w:tab w:val="left" w:pos="-624"/>
        <w:tab w:val="left" w:pos="-204"/>
      </w:tabs>
      <w:spacing w:line="360" w:lineRule="atLeast"/>
      <w:ind w:left="1985" w:right="447" w:hanging="567"/>
      <w:jc w:val="both"/>
      <w:outlineLvl w:val="1"/>
    </w:pPr>
    <w:rPr>
      <w:rFonts w:ascii="Times New" w:hAnsi="Times New"/>
      <w:b/>
      <w:sz w:val="24"/>
    </w:rPr>
  </w:style>
  <w:style w:type="paragraph" w:styleId="Titolo3">
    <w:name w:val="heading 3"/>
    <w:basedOn w:val="Normale"/>
    <w:next w:val="Normale"/>
    <w:qFormat/>
    <w:pPr>
      <w:keepNext/>
      <w:tabs>
        <w:tab w:val="left" w:pos="-3174"/>
        <w:tab w:val="left" w:pos="-2754"/>
        <w:tab w:val="left" w:pos="-2328"/>
        <w:tab w:val="left" w:pos="-1902"/>
        <w:tab w:val="left" w:pos="-1476"/>
        <w:tab w:val="left" w:pos="-1050"/>
        <w:tab w:val="left" w:pos="-624"/>
        <w:tab w:val="left" w:pos="-204"/>
      </w:tabs>
      <w:spacing w:line="360" w:lineRule="atLeast"/>
      <w:ind w:left="1418" w:right="447"/>
      <w:jc w:val="center"/>
      <w:outlineLvl w:val="2"/>
    </w:pPr>
    <w:rPr>
      <w:rFonts w:ascii="Times New" w:hAnsi="Times New"/>
      <w:b/>
      <w:sz w:val="28"/>
    </w:rPr>
  </w:style>
  <w:style w:type="paragraph" w:styleId="Titolo4">
    <w:name w:val="heading 4"/>
    <w:basedOn w:val="Normale"/>
    <w:next w:val="Normale"/>
    <w:qFormat/>
    <w:pPr>
      <w:keepNext/>
      <w:tabs>
        <w:tab w:val="left" w:pos="-3174"/>
        <w:tab w:val="left" w:pos="-2754"/>
        <w:tab w:val="left" w:pos="-2328"/>
        <w:tab w:val="left" w:pos="-1902"/>
        <w:tab w:val="left" w:pos="-1476"/>
        <w:tab w:val="left" w:pos="-1050"/>
        <w:tab w:val="left" w:pos="-624"/>
        <w:tab w:val="left" w:pos="-204"/>
      </w:tabs>
      <w:spacing w:line="360" w:lineRule="atLeast"/>
      <w:ind w:left="1418" w:right="447"/>
      <w:jc w:val="both"/>
      <w:outlineLvl w:val="3"/>
    </w:pPr>
    <w:rPr>
      <w:rFonts w:ascii="Times New" w:hAnsi="Times New"/>
      <w:b/>
      <w:sz w:val="28"/>
    </w:rPr>
  </w:style>
  <w:style w:type="paragraph" w:styleId="Titolo5">
    <w:name w:val="heading 5"/>
    <w:basedOn w:val="Normale"/>
    <w:next w:val="Normale"/>
    <w:qFormat/>
    <w:pPr>
      <w:keepNext/>
      <w:tabs>
        <w:tab w:val="left" w:pos="-2754"/>
        <w:tab w:val="left" w:pos="-2328"/>
        <w:tab w:val="left" w:pos="-1902"/>
        <w:tab w:val="left" w:pos="-1476"/>
        <w:tab w:val="left" w:pos="-1050"/>
        <w:tab w:val="left" w:pos="-624"/>
        <w:tab w:val="left" w:pos="-204"/>
        <w:tab w:val="left" w:pos="567"/>
        <w:tab w:val="left" w:pos="1134"/>
      </w:tabs>
      <w:spacing w:line="360" w:lineRule="atLeast"/>
      <w:ind w:left="1418" w:right="447" w:hanging="1134"/>
      <w:jc w:val="both"/>
      <w:outlineLvl w:val="4"/>
    </w:pPr>
    <w:rPr>
      <w:rFonts w:ascii="Times New" w:hAnsi="Times New"/>
      <w:b/>
      <w:sz w:val="24"/>
    </w:rPr>
  </w:style>
  <w:style w:type="paragraph" w:styleId="Titolo6">
    <w:name w:val="heading 6"/>
    <w:basedOn w:val="Normale"/>
    <w:next w:val="Normale"/>
    <w:qFormat/>
    <w:pPr>
      <w:keepNext/>
      <w:spacing w:line="360" w:lineRule="atLeast"/>
      <w:ind w:left="1418" w:right="447"/>
      <w:jc w:val="center"/>
      <w:outlineLvl w:val="5"/>
    </w:pPr>
    <w:rPr>
      <w:b/>
      <w:color w:val="008000"/>
      <w:sz w:val="36"/>
    </w:rPr>
  </w:style>
  <w:style w:type="paragraph" w:styleId="Titolo7">
    <w:name w:val="heading 7"/>
    <w:basedOn w:val="Normale"/>
    <w:next w:val="Normale"/>
    <w:qFormat/>
    <w:pPr>
      <w:keepNext/>
      <w:tabs>
        <w:tab w:val="left" w:pos="-3174"/>
        <w:tab w:val="left" w:pos="-2754"/>
        <w:tab w:val="left" w:pos="-2328"/>
        <w:tab w:val="left" w:pos="-1902"/>
        <w:tab w:val="left" w:pos="-1476"/>
        <w:tab w:val="left" w:pos="-1050"/>
        <w:tab w:val="left" w:pos="-624"/>
        <w:tab w:val="left" w:pos="-204"/>
      </w:tabs>
      <w:spacing w:line="360" w:lineRule="atLeast"/>
      <w:ind w:left="1418" w:right="447"/>
      <w:jc w:val="both"/>
      <w:outlineLvl w:val="6"/>
    </w:pPr>
    <w:rPr>
      <w:rFonts w:ascii="Times New" w:hAnsi="Times New"/>
      <w:b/>
      <w:color w:val="0000FF"/>
      <w:sz w:val="24"/>
      <w:u w:val="single"/>
    </w:rPr>
  </w:style>
  <w:style w:type="paragraph" w:styleId="Titolo8">
    <w:name w:val="heading 8"/>
    <w:basedOn w:val="Normale"/>
    <w:next w:val="Normale"/>
    <w:qFormat/>
    <w:pPr>
      <w:keepNext/>
      <w:tabs>
        <w:tab w:val="center" w:pos="8505"/>
      </w:tabs>
      <w:spacing w:line="240" w:lineRule="atLeast"/>
      <w:ind w:left="1418" w:right="448"/>
      <w:jc w:val="both"/>
      <w:outlineLvl w:val="7"/>
    </w:pPr>
    <w:rPr>
      <w:rFonts w:ascii="Times New" w:hAnsi="Times New"/>
      <w:b/>
      <w:sz w:val="24"/>
    </w:rPr>
  </w:style>
  <w:style w:type="paragraph" w:styleId="Titolo9">
    <w:name w:val="heading 9"/>
    <w:basedOn w:val="Normale"/>
    <w:next w:val="Normale"/>
    <w:qFormat/>
    <w:pPr>
      <w:keepNext/>
      <w:tabs>
        <w:tab w:val="left" w:pos="-3174"/>
        <w:tab w:val="left" w:pos="-2754"/>
        <w:tab w:val="left" w:pos="-2328"/>
        <w:tab w:val="left" w:pos="-1902"/>
        <w:tab w:val="left" w:pos="-1476"/>
        <w:tab w:val="left" w:pos="-1050"/>
        <w:tab w:val="left" w:pos="-624"/>
        <w:tab w:val="left" w:pos="-204"/>
      </w:tabs>
      <w:spacing w:line="360" w:lineRule="atLeast"/>
      <w:ind w:left="1418" w:right="447"/>
      <w:jc w:val="both"/>
      <w:outlineLvl w:val="8"/>
    </w:pPr>
    <w:rPr>
      <w:rFonts w:ascii="Times New" w:hAnsi="Times New"/>
      <w:b/>
      <w:color w:val="00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delblocco">
    <w:name w:val="Block Text"/>
    <w:basedOn w:val="Normale"/>
    <w:semiHidden/>
    <w:pPr>
      <w:tabs>
        <w:tab w:val="left" w:pos="-3174"/>
        <w:tab w:val="left" w:pos="-2754"/>
        <w:tab w:val="left" w:pos="-2328"/>
        <w:tab w:val="left" w:pos="-1902"/>
        <w:tab w:val="left" w:pos="-1476"/>
        <w:tab w:val="left" w:pos="-1050"/>
        <w:tab w:val="left" w:pos="-624"/>
        <w:tab w:val="left" w:pos="-204"/>
      </w:tabs>
      <w:spacing w:line="360" w:lineRule="atLeast"/>
      <w:ind w:left="1985" w:right="447"/>
      <w:jc w:val="both"/>
    </w:pPr>
    <w:rPr>
      <w:rFonts w:ascii="Times New" w:hAnsi="Times New"/>
      <w:sz w:val="24"/>
    </w:rPr>
  </w:style>
  <w:style w:type="paragraph" w:customStyle="1" w:styleId="Corpodeltesto">
    <w:name w:val="Corpo del testo"/>
    <w:basedOn w:val="Normale"/>
    <w:semiHidden/>
    <w:pPr>
      <w:tabs>
        <w:tab w:val="left" w:pos="-3174"/>
        <w:tab w:val="left" w:pos="-2754"/>
        <w:tab w:val="left" w:pos="-2328"/>
        <w:tab w:val="left" w:pos="-1902"/>
        <w:tab w:val="left" w:pos="-1476"/>
        <w:tab w:val="left" w:pos="-1050"/>
        <w:tab w:val="left" w:pos="-624"/>
        <w:tab w:val="left" w:pos="-204"/>
      </w:tabs>
      <w:spacing w:line="360" w:lineRule="atLeast"/>
      <w:ind w:right="447"/>
      <w:jc w:val="both"/>
    </w:pPr>
    <w:rPr>
      <w:rFonts w:ascii="Times New" w:hAnsi="Times New"/>
      <w:sz w:val="24"/>
    </w:rPr>
  </w:style>
  <w:style w:type="character" w:styleId="Numeropagina">
    <w:name w:val="page number"/>
    <w:basedOn w:val="Carpredefinitoparagrafo"/>
    <w:semiHidden/>
  </w:style>
  <w:style w:type="paragraph" w:styleId="Rientrocorpodeltesto">
    <w:name w:val="Body Text Indent"/>
    <w:basedOn w:val="Normale"/>
    <w:semiHidden/>
    <w:pPr>
      <w:spacing w:line="360" w:lineRule="atLeast"/>
      <w:ind w:left="1418"/>
      <w:jc w:val="both"/>
    </w:pPr>
    <w:rPr>
      <w:rFonts w:ascii="Times" w:hAnsi="Times"/>
      <w:sz w:val="24"/>
    </w:rPr>
  </w:style>
  <w:style w:type="paragraph" w:styleId="Rientrocorpodeltesto2">
    <w:name w:val="Body Text Indent 2"/>
    <w:basedOn w:val="Normale"/>
    <w:link w:val="Rientrocorpodeltesto2Carattere"/>
    <w:semiHidden/>
    <w:pPr>
      <w:tabs>
        <w:tab w:val="left" w:pos="-1134"/>
        <w:tab w:val="left" w:pos="-709"/>
        <w:tab w:val="left" w:pos="-284"/>
        <w:tab w:val="left" w:pos="140"/>
        <w:tab w:val="left" w:pos="990"/>
        <w:tab w:val="left" w:pos="1416"/>
        <w:tab w:val="left" w:pos="1840"/>
        <w:tab w:val="left" w:pos="2265"/>
        <w:tab w:val="left" w:pos="2690"/>
        <w:tab w:val="left" w:pos="3115"/>
        <w:tab w:val="left" w:pos="3540"/>
        <w:tab w:val="left" w:pos="3966"/>
        <w:tab w:val="left" w:pos="4390"/>
        <w:tab w:val="left" w:pos="4815"/>
        <w:tab w:val="left" w:pos="5240"/>
        <w:tab w:val="left" w:pos="5665"/>
        <w:tab w:val="left" w:pos="6090"/>
        <w:tab w:val="left" w:pos="6516"/>
        <w:tab w:val="left" w:pos="6940"/>
        <w:tab w:val="left" w:pos="7200"/>
        <w:tab w:val="left" w:pos="7920"/>
        <w:tab w:val="left" w:pos="8640"/>
        <w:tab w:val="left" w:pos="9360"/>
      </w:tabs>
      <w:ind w:left="1701"/>
      <w:jc w:val="both"/>
    </w:pPr>
    <w:rPr>
      <w:sz w:val="24"/>
      <w:lang w:val="x-none" w:eastAsia="x-none"/>
    </w:rPr>
  </w:style>
  <w:style w:type="paragraph" w:styleId="Rientrocorpodeltesto3">
    <w:name w:val="Body Text Indent 3"/>
    <w:basedOn w:val="Normale"/>
    <w:semiHidden/>
    <w:pPr>
      <w:tabs>
        <w:tab w:val="left" w:pos="-1134"/>
        <w:tab w:val="left" w:pos="-709"/>
        <w:tab w:val="left" w:pos="-284"/>
        <w:tab w:val="left" w:pos="140"/>
        <w:tab w:val="left" w:pos="565"/>
        <w:tab w:val="left" w:pos="990"/>
        <w:tab w:val="left" w:pos="1416"/>
        <w:tab w:val="left" w:pos="1840"/>
        <w:tab w:val="left" w:pos="2265"/>
        <w:tab w:val="left" w:pos="2690"/>
        <w:tab w:val="left" w:pos="3115"/>
        <w:tab w:val="left" w:pos="3540"/>
        <w:tab w:val="left" w:pos="3966"/>
        <w:tab w:val="left" w:pos="4390"/>
        <w:tab w:val="left" w:pos="4815"/>
        <w:tab w:val="left" w:pos="5240"/>
        <w:tab w:val="left" w:pos="5665"/>
        <w:tab w:val="left" w:pos="6090"/>
        <w:tab w:val="left" w:pos="6516"/>
        <w:tab w:val="left" w:pos="6940"/>
        <w:tab w:val="left" w:pos="7200"/>
        <w:tab w:val="left" w:pos="7920"/>
        <w:tab w:val="left" w:pos="8640"/>
        <w:tab w:val="left" w:pos="9360"/>
      </w:tabs>
      <w:ind w:left="567"/>
      <w:jc w:val="both"/>
    </w:pPr>
    <w:rPr>
      <w:sz w:val="24"/>
    </w:rPr>
  </w:style>
  <w:style w:type="paragraph" w:styleId="Corpodeltesto2">
    <w:name w:val="Body Text 2"/>
    <w:basedOn w:val="Normale"/>
    <w:semiHidden/>
    <w:pPr>
      <w:jc w:val="both"/>
    </w:pPr>
    <w:rPr>
      <w:sz w:val="24"/>
    </w:rPr>
  </w:style>
  <w:style w:type="paragraph" w:styleId="Corpodeltesto3">
    <w:name w:val="Body Text 3"/>
    <w:basedOn w:val="Normale"/>
    <w:link w:val="Corpodeltesto3Carattere"/>
    <w:semiHidden/>
    <w:pPr>
      <w:tabs>
        <w:tab w:val="left" w:pos="-1134"/>
        <w:tab w:val="left" w:pos="-426"/>
        <w:tab w:val="left" w:pos="283"/>
        <w:tab w:val="left" w:pos="992"/>
        <w:tab w:val="left" w:pos="1701"/>
        <w:tab w:val="left" w:pos="2410"/>
        <w:tab w:val="left" w:pos="3120"/>
        <w:tab w:val="left" w:pos="3828"/>
        <w:tab w:val="left" w:pos="4537"/>
        <w:tab w:val="left" w:pos="5246"/>
        <w:tab w:val="left" w:pos="5955"/>
        <w:tab w:val="left" w:pos="6664"/>
        <w:tab w:val="left" w:pos="7374"/>
        <w:tab w:val="left" w:pos="8082"/>
        <w:tab w:val="left" w:pos="8791"/>
        <w:tab w:val="left" w:pos="9500"/>
        <w:tab w:val="left" w:pos="10209"/>
        <w:tab w:val="left" w:pos="10918"/>
        <w:tab w:val="left" w:pos="11628"/>
        <w:tab w:val="left" w:pos="12336"/>
      </w:tabs>
      <w:jc w:val="both"/>
    </w:pPr>
    <w:rPr>
      <w:b/>
      <w:sz w:val="22"/>
    </w:rPr>
  </w:style>
  <w:style w:type="paragraph" w:styleId="Testonormale">
    <w:name w:val="Plain Text"/>
    <w:basedOn w:val="Normale"/>
    <w:link w:val="TestonormaleCarattere"/>
    <w:semiHidden/>
    <w:rPr>
      <w:rFonts w:ascii="Courier New" w:hAnsi="Courier New"/>
    </w:rPr>
  </w:style>
  <w:style w:type="paragraph" w:styleId="Testofumetto">
    <w:name w:val="Balloon Text"/>
    <w:basedOn w:val="Normale"/>
    <w:semiHidden/>
    <w:rPr>
      <w:rFonts w:ascii="Tahoma" w:hAnsi="Tahoma" w:cs="Tahoma"/>
      <w:sz w:val="16"/>
      <w:szCs w:val="16"/>
    </w:rPr>
  </w:style>
  <w:style w:type="paragraph" w:styleId="Titolo">
    <w:name w:val="Title"/>
    <w:basedOn w:val="Normale"/>
    <w:qFormat/>
    <w:pPr>
      <w:spacing w:line="200" w:lineRule="exact"/>
      <w:jc w:val="center"/>
    </w:pPr>
    <w:rPr>
      <w:b/>
      <w:sz w:val="28"/>
    </w:rPr>
  </w:style>
  <w:style w:type="paragraph" w:styleId="Mappadocumento">
    <w:name w:val="Document Map"/>
    <w:basedOn w:val="Normale"/>
    <w:semiHidden/>
    <w:pPr>
      <w:shd w:val="clear" w:color="auto" w:fill="000080"/>
    </w:pPr>
    <w:rPr>
      <w:rFonts w:ascii="Tahoma" w:hAnsi="Tahoma"/>
    </w:rPr>
  </w:style>
  <w:style w:type="table" w:styleId="Grigliatabella">
    <w:name w:val="Table Grid"/>
    <w:basedOn w:val="Tabellanormale"/>
    <w:rsid w:val="00CD33E4"/>
    <w:rPr>
      <w:rFonts w:ascii="Times" w:eastAsia="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rsid w:val="00CD33E4"/>
    <w:rPr>
      <w:color w:val="0000FF"/>
      <w:u w:val="single"/>
    </w:rPr>
  </w:style>
  <w:style w:type="paragraph" w:customStyle="1" w:styleId="Default">
    <w:name w:val="Default"/>
    <w:rsid w:val="00CD33E4"/>
    <w:pPr>
      <w:autoSpaceDE w:val="0"/>
      <w:autoSpaceDN w:val="0"/>
      <w:adjustRightInd w:val="0"/>
    </w:pPr>
    <w:rPr>
      <w:rFonts w:ascii="Arial" w:hAnsi="Arial" w:cs="Arial"/>
      <w:color w:val="000000"/>
      <w:sz w:val="24"/>
      <w:szCs w:val="24"/>
    </w:rPr>
  </w:style>
  <w:style w:type="paragraph" w:customStyle="1" w:styleId="TITOLIMINORI">
    <w:name w:val="TITOLI MINORI"/>
    <w:basedOn w:val="Normale"/>
    <w:rsid w:val="00EB7C8B"/>
    <w:pPr>
      <w:tabs>
        <w:tab w:val="left" w:pos="567"/>
      </w:tabs>
      <w:spacing w:before="240" w:after="120" w:line="240" w:lineRule="exact"/>
      <w:ind w:left="567" w:hanging="567"/>
      <w:jc w:val="both"/>
    </w:pPr>
    <w:rPr>
      <w:rFonts w:ascii="Bookman" w:hAnsi="Bookman"/>
      <w:b/>
      <w:sz w:val="24"/>
    </w:rPr>
  </w:style>
  <w:style w:type="paragraph" w:styleId="Paragrafoelenco">
    <w:name w:val="List Paragraph"/>
    <w:basedOn w:val="Normale"/>
    <w:uiPriority w:val="34"/>
    <w:qFormat/>
    <w:rsid w:val="000900B2"/>
    <w:pPr>
      <w:spacing w:after="200" w:line="276" w:lineRule="auto"/>
      <w:ind w:left="720"/>
      <w:contextualSpacing/>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D227AB"/>
  </w:style>
  <w:style w:type="paragraph" w:customStyle="1" w:styleId="testo">
    <w:name w:val="*testo"/>
    <w:rsid w:val="00D227AB"/>
    <w:pPr>
      <w:spacing w:line="240" w:lineRule="exact"/>
      <w:jc w:val="both"/>
    </w:pPr>
    <w:rPr>
      <w:rFonts w:ascii="Imago Light" w:eastAsia="Imago Light" w:hAnsi="Imago Light"/>
    </w:rPr>
  </w:style>
  <w:style w:type="character" w:customStyle="1" w:styleId="IntestazioneCarattere">
    <w:name w:val="Intestazione Carattere"/>
    <w:basedOn w:val="Carpredefinitoparagrafo"/>
    <w:link w:val="Intestazione"/>
    <w:uiPriority w:val="99"/>
    <w:rsid w:val="00E75600"/>
  </w:style>
  <w:style w:type="paragraph" w:customStyle="1" w:styleId="Paragrafobase">
    <w:name w:val="[Paragrafo base]"/>
    <w:basedOn w:val="Normale"/>
    <w:uiPriority w:val="99"/>
    <w:rsid w:val="000C3D21"/>
    <w:pPr>
      <w:widowControl w:val="0"/>
      <w:autoSpaceDE w:val="0"/>
      <w:autoSpaceDN w:val="0"/>
      <w:adjustRightInd w:val="0"/>
      <w:spacing w:line="288" w:lineRule="auto"/>
      <w:textAlignment w:val="center"/>
    </w:pPr>
    <w:rPr>
      <w:rFonts w:ascii="MinionPro-Regular" w:eastAsia="Times" w:hAnsi="MinionPro-Regular" w:cs="MinionPro-Regular"/>
      <w:color w:val="000000"/>
      <w:sz w:val="24"/>
      <w:szCs w:val="24"/>
    </w:rPr>
  </w:style>
  <w:style w:type="character" w:customStyle="1" w:styleId="U-ZAPFDINGBALS">
    <w:name w:val="U - ZAPF DINGBALS"/>
    <w:uiPriority w:val="99"/>
    <w:rsid w:val="000C3D21"/>
    <w:rPr>
      <w:rFonts w:ascii="ZapfDingbats" w:hAnsi="ZapfDingbats" w:hint="default"/>
      <w:strike w:val="0"/>
      <w:dstrike w:val="0"/>
      <w:color w:val="000000"/>
      <w:spacing w:val="0"/>
      <w:position w:val="0"/>
      <w:u w:val="none"/>
      <w:effect w:val="none"/>
      <w:vertAlign w:val="baseline"/>
    </w:rPr>
  </w:style>
  <w:style w:type="character" w:customStyle="1" w:styleId="Rientrocorpodeltesto2Carattere">
    <w:name w:val="Rientro corpo del testo 2 Carattere"/>
    <w:link w:val="Rientrocorpodeltesto2"/>
    <w:semiHidden/>
    <w:rsid w:val="005D742F"/>
    <w:rPr>
      <w:sz w:val="24"/>
    </w:rPr>
  </w:style>
  <w:style w:type="character" w:customStyle="1" w:styleId="TestonormaleCarattere">
    <w:name w:val="Testo normale Carattere"/>
    <w:link w:val="Testonormale"/>
    <w:semiHidden/>
    <w:rsid w:val="004A3292"/>
    <w:rPr>
      <w:rFonts w:ascii="Courier New" w:hAnsi="Courier New"/>
    </w:rPr>
  </w:style>
  <w:style w:type="paragraph" w:customStyle="1" w:styleId="PUNTIRIENTRATI">
    <w:name w:val="PUNTI RIENTRATI"/>
    <w:basedOn w:val="Normale"/>
    <w:rsid w:val="004A3292"/>
    <w:pPr>
      <w:tabs>
        <w:tab w:val="left" w:pos="1134"/>
      </w:tabs>
      <w:spacing w:line="240" w:lineRule="exact"/>
      <w:ind w:left="1134" w:hanging="567"/>
      <w:jc w:val="both"/>
    </w:pPr>
    <w:rPr>
      <w:rFonts w:ascii="Bookman" w:hAnsi="Bookman"/>
      <w:sz w:val="24"/>
    </w:rPr>
  </w:style>
  <w:style w:type="paragraph" w:customStyle="1" w:styleId="CM1">
    <w:name w:val="CM1"/>
    <w:basedOn w:val="Default"/>
    <w:next w:val="Default"/>
    <w:uiPriority w:val="99"/>
    <w:rsid w:val="00B23194"/>
    <w:pPr>
      <w:widowControl w:val="0"/>
      <w:spacing w:line="196" w:lineRule="atLeast"/>
    </w:pPr>
    <w:rPr>
      <w:color w:val="auto"/>
    </w:rPr>
  </w:style>
  <w:style w:type="paragraph" w:customStyle="1" w:styleId="CM3">
    <w:name w:val="CM3"/>
    <w:basedOn w:val="Default"/>
    <w:next w:val="Default"/>
    <w:uiPriority w:val="99"/>
    <w:rsid w:val="00B23194"/>
    <w:pPr>
      <w:widowControl w:val="0"/>
      <w:spacing w:line="196" w:lineRule="atLeast"/>
    </w:pPr>
    <w:rPr>
      <w:color w:val="auto"/>
    </w:rPr>
  </w:style>
  <w:style w:type="paragraph" w:customStyle="1" w:styleId="CM6">
    <w:name w:val="CM6"/>
    <w:basedOn w:val="Default"/>
    <w:next w:val="Default"/>
    <w:uiPriority w:val="99"/>
    <w:rsid w:val="00B23194"/>
    <w:pPr>
      <w:widowControl w:val="0"/>
    </w:pPr>
    <w:rPr>
      <w:color w:val="auto"/>
    </w:rPr>
  </w:style>
  <w:style w:type="paragraph" w:customStyle="1" w:styleId="CM4">
    <w:name w:val="CM4"/>
    <w:basedOn w:val="Default"/>
    <w:next w:val="Default"/>
    <w:uiPriority w:val="99"/>
    <w:rsid w:val="00B23194"/>
    <w:pPr>
      <w:widowControl w:val="0"/>
      <w:spacing w:line="193" w:lineRule="atLeast"/>
    </w:pPr>
    <w:rPr>
      <w:color w:val="auto"/>
    </w:rPr>
  </w:style>
  <w:style w:type="character" w:customStyle="1" w:styleId="Corpodeltesto3Carattere">
    <w:name w:val="Corpo del testo 3 Carattere"/>
    <w:link w:val="Corpodeltesto3"/>
    <w:semiHidden/>
    <w:rsid w:val="00F05BEF"/>
    <w:rPr>
      <w:b/>
      <w:sz w:val="22"/>
    </w:rPr>
  </w:style>
  <w:style w:type="paragraph" w:styleId="Sommario2">
    <w:name w:val="toc 2"/>
    <w:basedOn w:val="Normale"/>
    <w:next w:val="Normale"/>
    <w:autoRedefine/>
    <w:uiPriority w:val="39"/>
    <w:unhideWhenUsed/>
    <w:rsid w:val="00F05BEF"/>
    <w:pPr>
      <w:ind w:left="220"/>
    </w:pPr>
    <w:rPr>
      <w:rFonts w:ascii="Tahoma" w:eastAsia="Arial" w:hAnsi="Tahoma" w:cs="Arial"/>
      <w:sz w:val="22"/>
    </w:rPr>
  </w:style>
  <w:style w:type="paragraph" w:styleId="Sommario1">
    <w:name w:val="toc 1"/>
    <w:basedOn w:val="Normale"/>
    <w:next w:val="Normale"/>
    <w:autoRedefine/>
    <w:uiPriority w:val="39"/>
    <w:unhideWhenUsed/>
    <w:rsid w:val="00373CAA"/>
    <w:pPr>
      <w:tabs>
        <w:tab w:val="right" w:leader="dot" w:pos="10489"/>
      </w:tabs>
    </w:pPr>
    <w:rPr>
      <w:rFonts w:ascii="Titillium Up" w:eastAsia="Arial" w:hAnsi="Titillium Up" w:cs="Arial"/>
      <w:b/>
      <w:bCs/>
      <w:sz w:val="24"/>
      <w:szCs w:val="24"/>
    </w:rPr>
  </w:style>
  <w:style w:type="paragraph" w:customStyle="1" w:styleId="Corpodeltesto21">
    <w:name w:val="Corpo del testo 21"/>
    <w:basedOn w:val="Normale"/>
    <w:rsid w:val="00E06399"/>
    <w:pPr>
      <w:overflowPunct w:val="0"/>
      <w:autoSpaceDE w:val="0"/>
      <w:autoSpaceDN w:val="0"/>
      <w:adjustRightInd w:val="0"/>
      <w:ind w:left="360" w:hanging="360"/>
      <w:jc w:val="both"/>
      <w:textAlignment w:val="baseline"/>
    </w:pPr>
    <w:rPr>
      <w:sz w:val="24"/>
    </w:rPr>
  </w:style>
  <w:style w:type="paragraph" w:styleId="PreformattatoHTML">
    <w:name w:val="HTML Preformatted"/>
    <w:basedOn w:val="Normale"/>
    <w:link w:val="PreformattatoHTMLCarattere"/>
    <w:rsid w:val="00E0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link w:val="PreformattatoHTML"/>
    <w:rsid w:val="00E06399"/>
    <w:rPr>
      <w:rFonts w:ascii="Courier New" w:hAnsi="Courier New" w:cs="Courier New"/>
    </w:rPr>
  </w:style>
  <w:style w:type="paragraph" w:styleId="Titolosommario">
    <w:name w:val="TOC Heading"/>
    <w:basedOn w:val="Titolo1"/>
    <w:next w:val="Normale"/>
    <w:uiPriority w:val="39"/>
    <w:unhideWhenUsed/>
    <w:qFormat/>
    <w:rsid w:val="00B7258D"/>
    <w:pPr>
      <w:keepLines/>
      <w:spacing w:before="240" w:line="259" w:lineRule="auto"/>
      <w:ind w:left="0" w:right="0"/>
      <w:jc w:val="left"/>
      <w:outlineLvl w:val="9"/>
    </w:pPr>
    <w:rPr>
      <w:rFonts w:ascii="Calibri Light" w:hAnsi="Calibri Light"/>
      <w:b w:val="0"/>
      <w:color w:val="2F5496"/>
      <w:sz w:val="32"/>
      <w:szCs w:val="32"/>
    </w:rPr>
  </w:style>
  <w:style w:type="paragraph" w:styleId="Sommario3">
    <w:name w:val="toc 3"/>
    <w:basedOn w:val="Normale"/>
    <w:next w:val="Normale"/>
    <w:autoRedefine/>
    <w:uiPriority w:val="39"/>
    <w:unhideWhenUsed/>
    <w:rsid w:val="00B7258D"/>
    <w:pPr>
      <w:spacing w:after="100" w:line="259" w:lineRule="auto"/>
      <w:ind w:left="4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40476">
      <w:bodyDiv w:val="1"/>
      <w:marLeft w:val="0"/>
      <w:marRight w:val="0"/>
      <w:marTop w:val="0"/>
      <w:marBottom w:val="0"/>
      <w:divBdr>
        <w:top w:val="none" w:sz="0" w:space="0" w:color="auto"/>
        <w:left w:val="none" w:sz="0" w:space="0" w:color="auto"/>
        <w:bottom w:val="none" w:sz="0" w:space="0" w:color="auto"/>
        <w:right w:val="none" w:sz="0" w:space="0" w:color="auto"/>
      </w:divBdr>
    </w:div>
    <w:div w:id="1244684986">
      <w:bodyDiv w:val="1"/>
      <w:marLeft w:val="0"/>
      <w:marRight w:val="0"/>
      <w:marTop w:val="0"/>
      <w:marBottom w:val="0"/>
      <w:divBdr>
        <w:top w:val="none" w:sz="0" w:space="0" w:color="auto"/>
        <w:left w:val="none" w:sz="0" w:space="0" w:color="auto"/>
        <w:bottom w:val="none" w:sz="0" w:space="0" w:color="auto"/>
        <w:right w:val="none" w:sz="0" w:space="0" w:color="auto"/>
      </w:divBdr>
    </w:div>
    <w:div w:id="13670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mintaunitasindacale.com"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632C2577-862B-4A37-936C-D36CB8D97C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8.png"/><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34FBA-C924-4147-A9FB-4927056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4846</Words>
  <Characters>29770</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AGENZIA DI</vt:lpstr>
    </vt:vector>
  </TitlesOfParts>
  <Company>.</Company>
  <LinksUpToDate>false</LinksUpToDate>
  <CharactersWithSpaces>34547</CharactersWithSpaces>
  <SharedDoc>false</SharedDoc>
  <HLinks>
    <vt:vector size="12" baseType="variant">
      <vt:variant>
        <vt:i4>4587614</vt:i4>
      </vt:variant>
      <vt:variant>
        <vt:i4>0</vt:i4>
      </vt:variant>
      <vt:variant>
        <vt:i4>0</vt:i4>
      </vt:variant>
      <vt:variant>
        <vt:i4>5</vt:i4>
      </vt:variant>
      <vt:variant>
        <vt:lpwstr>http://www.amintaunitasindacale.com/</vt:lpwstr>
      </vt:variant>
      <vt:variant>
        <vt:lpwstr/>
      </vt:variant>
      <vt:variant>
        <vt:i4>327682</vt:i4>
      </vt:variant>
      <vt:variant>
        <vt:i4>-1</vt:i4>
      </vt:variant>
      <vt:variant>
        <vt:i4>1055</vt:i4>
      </vt:variant>
      <vt:variant>
        <vt:i4>1</vt:i4>
      </vt:variant>
      <vt:variant>
        <vt:lpwstr>cid:632C2577-862B-4A37-936C-D36CB8D97CDE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AGENZIA DI</dc:title>
  <dc:subject/>
  <dc:creator>Mauro Morando</dc:creator>
  <cp:keywords/>
  <cp:lastModifiedBy>Andrea Morra di Cella</cp:lastModifiedBy>
  <cp:revision>11</cp:revision>
  <cp:lastPrinted>2018-03-08T13:14:00Z</cp:lastPrinted>
  <dcterms:created xsi:type="dcterms:W3CDTF">2020-12-21T14:05:00Z</dcterms:created>
  <dcterms:modified xsi:type="dcterms:W3CDTF">2021-11-05T15:12:00Z</dcterms:modified>
</cp:coreProperties>
</file>