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B693" w14:textId="77777777" w:rsidR="00154087" w:rsidRPr="003C52BD" w:rsidRDefault="00154087" w:rsidP="00154087">
      <w:pPr>
        <w:pStyle w:val="Paragrafobase"/>
        <w:suppressAutoHyphens/>
        <w:spacing w:line="240" w:lineRule="atLeast"/>
        <w:jc w:val="center"/>
        <w:rPr>
          <w:rFonts w:ascii="Titillium Up" w:hAnsi="Titillium Up" w:cs="Titillium-BoldUpright"/>
          <w:b/>
          <w:bCs/>
          <w:color w:val="0A3776"/>
          <w:sz w:val="36"/>
          <w:szCs w:val="36"/>
        </w:rPr>
      </w:pPr>
      <w:r w:rsidRPr="003C52BD">
        <w:rPr>
          <w:rFonts w:ascii="Titillium Up" w:hAnsi="Titillium Up" w:cs="Titillium-BoldUpright"/>
          <w:b/>
          <w:bCs/>
          <w:color w:val="0A3776"/>
          <w:sz w:val="36"/>
          <w:szCs w:val="36"/>
        </w:rPr>
        <w:t>CONVENZIONE UNITA’ SINDACALE</w:t>
      </w:r>
    </w:p>
    <w:p w14:paraId="487BF0EE" w14:textId="77777777" w:rsidR="00154087" w:rsidRPr="003C52BD" w:rsidRDefault="00154087" w:rsidP="00154087">
      <w:pPr>
        <w:pStyle w:val="Paragrafobase"/>
        <w:suppressAutoHyphens/>
        <w:spacing w:line="240" w:lineRule="atLeast"/>
        <w:jc w:val="center"/>
        <w:rPr>
          <w:rFonts w:ascii="Titillium Up" w:hAnsi="Titillium Up" w:cs="Titillium-BoldUpright"/>
          <w:b/>
          <w:bCs/>
          <w:color w:val="0A3776"/>
          <w:sz w:val="36"/>
          <w:szCs w:val="36"/>
        </w:rPr>
      </w:pPr>
      <w:r w:rsidRPr="003C52BD">
        <w:rPr>
          <w:rFonts w:ascii="Titillium Up" w:hAnsi="Titillium Up" w:cs="Titillium-BoldUpright"/>
          <w:b/>
          <w:bCs/>
          <w:color w:val="0A3776"/>
          <w:sz w:val="36"/>
          <w:szCs w:val="36"/>
        </w:rPr>
        <w:t>F.A.L.C.R.I. - S.I.L.C.E.A.- S.I.N.F.U.B.</w:t>
      </w:r>
    </w:p>
    <w:p w14:paraId="55D6B7E5" w14:textId="64F948AD" w:rsidR="00154087" w:rsidRPr="003C52BD" w:rsidRDefault="00154087" w:rsidP="00154087">
      <w:pPr>
        <w:pStyle w:val="Paragrafobase"/>
        <w:suppressAutoHyphens/>
        <w:spacing w:line="240" w:lineRule="atLeast"/>
        <w:jc w:val="center"/>
        <w:rPr>
          <w:rFonts w:ascii="Titillium Up" w:hAnsi="Titillium Up" w:cs="Titillium-BoldUpright"/>
          <w:b/>
          <w:bCs/>
          <w:color w:val="0A3776"/>
          <w:sz w:val="36"/>
          <w:szCs w:val="36"/>
        </w:rPr>
      </w:pPr>
      <w:r w:rsidRPr="003C52BD">
        <w:rPr>
          <w:rFonts w:ascii="Titillium Up" w:hAnsi="Titillium Up" w:cs="Titillium-BoldUpright"/>
          <w:b/>
          <w:bCs/>
          <w:color w:val="0A3776"/>
          <w:sz w:val="36"/>
          <w:szCs w:val="36"/>
        </w:rPr>
        <w:t>202</w:t>
      </w:r>
      <w:r w:rsidR="00207BC5">
        <w:rPr>
          <w:rFonts w:ascii="Titillium Up" w:hAnsi="Titillium Up" w:cs="Titillium-BoldUpright"/>
          <w:b/>
          <w:bCs/>
          <w:color w:val="0A3776"/>
          <w:sz w:val="36"/>
          <w:szCs w:val="36"/>
        </w:rPr>
        <w:t>2</w:t>
      </w:r>
    </w:p>
    <w:p w14:paraId="2959B970" w14:textId="77777777" w:rsidR="000900B2" w:rsidRDefault="0011173B" w:rsidP="000900B2">
      <w:pPr>
        <w:jc w:val="center"/>
        <w:rPr>
          <w:rFonts w:ascii="Titillium Up" w:hAnsi="Titillium Up"/>
          <w:b/>
          <w:i/>
          <w:color w:val="003777"/>
          <w:sz w:val="48"/>
          <w:szCs w:val="48"/>
        </w:rPr>
      </w:pPr>
      <w:r>
        <w:rPr>
          <w:noProof/>
        </w:rPr>
        <w:drawing>
          <wp:anchor distT="0" distB="0" distL="114300" distR="114300" simplePos="0" relativeHeight="251657728" behindDoc="0" locked="0" layoutInCell="1" allowOverlap="1" wp14:anchorId="605435C9" wp14:editId="19A03EE2">
            <wp:simplePos x="0" y="0"/>
            <wp:positionH relativeFrom="margin">
              <wp:posOffset>2367915</wp:posOffset>
            </wp:positionH>
            <wp:positionV relativeFrom="margin">
              <wp:posOffset>991235</wp:posOffset>
            </wp:positionV>
            <wp:extent cx="1915160" cy="958215"/>
            <wp:effectExtent l="0" t="0" r="0" b="0"/>
            <wp:wrapSquare wrapText="bothSides"/>
            <wp:docPr id="3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pic:cNvPicPr>
                      <a:picLocks noChangeAspect="1" noChangeArrowheads="1"/>
                    </pic:cNvPicPr>
                  </pic:nvPicPr>
                  <pic:blipFill>
                    <a:blip r:embed="rId8">
                      <a:extLst>
                        <a:ext uri="{28A0092B-C50C-407E-A947-70E740481C1C}">
                          <a14:useLocalDpi xmlns:a14="http://schemas.microsoft.com/office/drawing/2010/main" val="0"/>
                        </a:ext>
                      </a:extLst>
                    </a:blip>
                    <a:srcRect l="40395" t="12624" r="39481" b="74196"/>
                    <a:stretch>
                      <a:fillRect/>
                    </a:stretch>
                  </pic:blipFill>
                  <pic:spPr bwMode="auto">
                    <a:xfrm>
                      <a:off x="0" y="0"/>
                      <a:ext cx="1915160" cy="958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339915EE" wp14:editId="12EB1D49">
            <wp:simplePos x="0" y="0"/>
            <wp:positionH relativeFrom="column">
              <wp:posOffset>4988560</wp:posOffset>
            </wp:positionH>
            <wp:positionV relativeFrom="paragraph">
              <wp:posOffset>81915</wp:posOffset>
            </wp:positionV>
            <wp:extent cx="977900" cy="957580"/>
            <wp:effectExtent l="0" t="0" r="0" b="0"/>
            <wp:wrapNone/>
            <wp:docPr id="37" name="Immagine 11" descr="Logo_ol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_old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60CF3A7B" wp14:editId="09036D09">
            <wp:simplePos x="0" y="0"/>
            <wp:positionH relativeFrom="column">
              <wp:posOffset>764540</wp:posOffset>
            </wp:positionH>
            <wp:positionV relativeFrom="paragraph">
              <wp:posOffset>81915</wp:posOffset>
            </wp:positionV>
            <wp:extent cx="963930" cy="972820"/>
            <wp:effectExtent l="0" t="0" r="0" b="0"/>
            <wp:wrapTight wrapText="bothSides">
              <wp:wrapPolygon edited="0">
                <wp:start x="0" y="0"/>
                <wp:lineTo x="0" y="21149"/>
                <wp:lineTo x="21344" y="21149"/>
                <wp:lineTo x="21344" y="0"/>
                <wp:lineTo x="0" y="0"/>
              </wp:wrapPolygon>
            </wp:wrapTight>
            <wp:docPr id="3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63930"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BD114" w14:textId="77777777" w:rsidR="000900B2" w:rsidRDefault="000900B2" w:rsidP="000900B2">
      <w:pPr>
        <w:jc w:val="center"/>
        <w:rPr>
          <w:rFonts w:ascii="Titillium Up" w:hAnsi="Titillium Up"/>
          <w:b/>
          <w:i/>
          <w:color w:val="003777"/>
          <w:sz w:val="48"/>
          <w:szCs w:val="48"/>
        </w:rPr>
      </w:pPr>
    </w:p>
    <w:p w14:paraId="1600F2D7" w14:textId="77777777" w:rsidR="000900B2" w:rsidRDefault="000900B2" w:rsidP="000900B2">
      <w:pPr>
        <w:jc w:val="center"/>
        <w:rPr>
          <w:rFonts w:ascii="Titillium Up" w:hAnsi="Titillium Up"/>
          <w:b/>
          <w:i/>
          <w:color w:val="003777"/>
          <w:sz w:val="48"/>
          <w:szCs w:val="48"/>
        </w:rPr>
      </w:pPr>
    </w:p>
    <w:p w14:paraId="3D70DE46" w14:textId="77777777" w:rsidR="003C52BD" w:rsidRDefault="003C52BD" w:rsidP="00154087">
      <w:pPr>
        <w:pStyle w:val="Paragrafobase"/>
        <w:suppressAutoHyphens/>
        <w:spacing w:line="240" w:lineRule="atLeast"/>
        <w:jc w:val="center"/>
        <w:rPr>
          <w:rFonts w:ascii="Titillium Up" w:hAnsi="Titillium Up" w:cs="Titillium-BoldUpright"/>
          <w:b/>
          <w:bCs/>
          <w:color w:val="0A3776"/>
          <w:sz w:val="48"/>
          <w:szCs w:val="48"/>
        </w:rPr>
      </w:pPr>
    </w:p>
    <w:p w14:paraId="2E0BF7CD" w14:textId="77777777" w:rsidR="00BA0550" w:rsidRPr="009857C8" w:rsidRDefault="00BA0550" w:rsidP="00154087">
      <w:pPr>
        <w:pStyle w:val="Paragrafobase"/>
        <w:suppressAutoHyphens/>
        <w:spacing w:line="240" w:lineRule="atLeast"/>
        <w:jc w:val="center"/>
        <w:rPr>
          <w:rFonts w:ascii="Titillium Up" w:hAnsi="Titillium Up" w:cs="Titillium-BoldUpright"/>
          <w:b/>
          <w:bCs/>
          <w:color w:val="0A3776"/>
          <w:sz w:val="48"/>
          <w:szCs w:val="48"/>
        </w:rPr>
      </w:pPr>
      <w:r w:rsidRPr="009857C8">
        <w:rPr>
          <w:rFonts w:ascii="Titillium Up" w:hAnsi="Titillium Up" w:cs="Titillium-BoldUpright"/>
          <w:b/>
          <w:bCs/>
          <w:color w:val="0A3776"/>
          <w:sz w:val="48"/>
          <w:szCs w:val="48"/>
        </w:rPr>
        <w:t>CONDIZIONI DI ASSICURAZIONE</w:t>
      </w:r>
    </w:p>
    <w:p w14:paraId="1C2E3B2E" w14:textId="77777777" w:rsidR="002638BC" w:rsidRPr="009857C8" w:rsidRDefault="002638BC" w:rsidP="00154087">
      <w:pPr>
        <w:pStyle w:val="Paragrafobase"/>
        <w:suppressAutoHyphens/>
        <w:spacing w:line="240" w:lineRule="atLeast"/>
        <w:jc w:val="center"/>
        <w:rPr>
          <w:rFonts w:ascii="Titillium Up" w:hAnsi="Titillium Up" w:cs="Titillium-BoldUpright"/>
          <w:b/>
          <w:bCs/>
          <w:color w:val="0A3776"/>
          <w:sz w:val="48"/>
          <w:szCs w:val="48"/>
        </w:rPr>
      </w:pPr>
      <w:r>
        <w:rPr>
          <w:rFonts w:ascii="Titillium Up" w:hAnsi="Titillium Up" w:cs="Titillium-BoldUpright"/>
          <w:b/>
          <w:bCs/>
          <w:color w:val="0A3776"/>
          <w:sz w:val="48"/>
          <w:szCs w:val="48"/>
        </w:rPr>
        <w:t>RC PROFESSIONALE</w:t>
      </w:r>
    </w:p>
    <w:p w14:paraId="34A12708" w14:textId="77777777" w:rsidR="00BA0550" w:rsidRPr="009857C8" w:rsidRDefault="00BA0550" w:rsidP="00154087">
      <w:pPr>
        <w:spacing w:line="240" w:lineRule="atLeast"/>
        <w:jc w:val="center"/>
        <w:rPr>
          <w:rFonts w:ascii="Titillium Up" w:hAnsi="Titillium Up"/>
          <w:noProof/>
          <w:sz w:val="48"/>
          <w:szCs w:val="48"/>
        </w:rPr>
      </w:pPr>
      <w:r w:rsidRPr="009857C8">
        <w:rPr>
          <w:rFonts w:ascii="Titillium Up" w:hAnsi="Titillium Up" w:cs="Titillium-BoldUpright"/>
          <w:b/>
          <w:bCs/>
          <w:color w:val="0A3776"/>
          <w:sz w:val="48"/>
          <w:szCs w:val="48"/>
        </w:rPr>
        <w:t>R.C. FAMIGLIA</w:t>
      </w:r>
    </w:p>
    <w:p w14:paraId="25633726" w14:textId="77777777" w:rsidR="00BA0550" w:rsidRPr="009857C8" w:rsidRDefault="00BA0550" w:rsidP="000900B2">
      <w:pPr>
        <w:rPr>
          <w:rFonts w:ascii="Titillium Up" w:hAnsi="Titillium Up"/>
          <w:noProof/>
        </w:rPr>
      </w:pPr>
    </w:p>
    <w:p w14:paraId="6A476D17" w14:textId="77777777" w:rsidR="00FE3E42" w:rsidRPr="00763E25" w:rsidRDefault="00BA0550" w:rsidP="009027F5">
      <w:pPr>
        <w:pStyle w:val="Paragrafobase"/>
        <w:suppressAutoHyphens/>
        <w:spacing w:line="240" w:lineRule="auto"/>
        <w:jc w:val="center"/>
        <w:rPr>
          <w:rFonts w:ascii="Titillium Up" w:hAnsi="Titillium Up" w:cs="Titillium-BoldUpright"/>
          <w:b/>
          <w:bCs/>
          <w:strike/>
          <w:color w:val="0A3776"/>
          <w:sz w:val="32"/>
          <w:szCs w:val="32"/>
        </w:rPr>
      </w:pPr>
      <w:r w:rsidRPr="00763E25">
        <w:rPr>
          <w:rFonts w:ascii="Titillium Up" w:hAnsi="Titillium Up" w:cs="Titillium-BoldUpright"/>
          <w:b/>
          <w:bCs/>
          <w:color w:val="0A3776"/>
          <w:sz w:val="32"/>
          <w:szCs w:val="32"/>
        </w:rPr>
        <w:t xml:space="preserve">Convenzione riservata </w:t>
      </w:r>
      <w:r w:rsidR="009027F5">
        <w:rPr>
          <w:rFonts w:ascii="Titillium Up" w:hAnsi="Titillium Up" w:cs="Titillium-BoldUpright"/>
          <w:b/>
          <w:bCs/>
          <w:color w:val="0A3776"/>
          <w:sz w:val="32"/>
          <w:szCs w:val="32"/>
        </w:rPr>
        <w:t>a</w:t>
      </w:r>
    </w:p>
    <w:p w14:paraId="513105B6" w14:textId="77777777" w:rsidR="00763E25" w:rsidRPr="00763E25" w:rsidRDefault="00763E25" w:rsidP="00763E25">
      <w:pPr>
        <w:pStyle w:val="Paragrafobase"/>
        <w:suppressAutoHyphens/>
        <w:spacing w:line="240" w:lineRule="auto"/>
        <w:jc w:val="center"/>
        <w:rPr>
          <w:rFonts w:ascii="Titillium Up" w:hAnsi="Titillium Up" w:cs="Titillium-BoldUpright"/>
          <w:b/>
          <w:bCs/>
          <w:color w:val="0A3776"/>
          <w:sz w:val="32"/>
          <w:szCs w:val="32"/>
        </w:rPr>
      </w:pPr>
      <w:r w:rsidRPr="00763E25">
        <w:rPr>
          <w:rFonts w:ascii="Titillium Up" w:hAnsi="Titillium Up" w:cs="Titillium-BoldUpright"/>
          <w:b/>
          <w:bCs/>
          <w:color w:val="0A3776"/>
          <w:sz w:val="32"/>
          <w:szCs w:val="32"/>
        </w:rPr>
        <w:tab/>
        <w:t>impiegati, quadri direttivi, dirigenti del settore credito</w:t>
      </w:r>
    </w:p>
    <w:p w14:paraId="60B508B5" w14:textId="77777777" w:rsidR="00763E25" w:rsidRPr="00763E25" w:rsidRDefault="00763E25" w:rsidP="00763E25">
      <w:pPr>
        <w:pStyle w:val="Paragrafobase"/>
        <w:suppressAutoHyphens/>
        <w:spacing w:line="240" w:lineRule="auto"/>
        <w:jc w:val="center"/>
        <w:rPr>
          <w:rFonts w:ascii="Titillium Up" w:hAnsi="Titillium Up" w:cs="Titillium-BoldUpright"/>
          <w:b/>
          <w:bCs/>
          <w:color w:val="0A3776"/>
          <w:sz w:val="32"/>
          <w:szCs w:val="32"/>
        </w:rPr>
      </w:pPr>
      <w:r w:rsidRPr="00763E25">
        <w:rPr>
          <w:rFonts w:ascii="Titillium Up" w:hAnsi="Titillium Up" w:cs="Titillium-BoldUpright"/>
          <w:b/>
          <w:bCs/>
          <w:color w:val="0A3776"/>
          <w:sz w:val="32"/>
          <w:szCs w:val="32"/>
        </w:rPr>
        <w:t>iscritti ad Unità Sindacale Falcri-</w:t>
      </w:r>
      <w:proofErr w:type="spellStart"/>
      <w:r w:rsidRPr="00763E25">
        <w:rPr>
          <w:rFonts w:ascii="Titillium Up" w:hAnsi="Titillium Up" w:cs="Titillium-BoldUpright"/>
          <w:b/>
          <w:bCs/>
          <w:color w:val="0A3776"/>
          <w:sz w:val="32"/>
          <w:szCs w:val="32"/>
        </w:rPr>
        <w:t>Silcea</w:t>
      </w:r>
      <w:proofErr w:type="spellEnd"/>
      <w:r w:rsidRPr="00763E25">
        <w:rPr>
          <w:rFonts w:ascii="Titillium Up" w:hAnsi="Titillium Up" w:cs="Titillium-BoldUpright"/>
          <w:b/>
          <w:bCs/>
          <w:color w:val="0A3776"/>
          <w:sz w:val="32"/>
          <w:szCs w:val="32"/>
        </w:rPr>
        <w:t>-</w:t>
      </w:r>
      <w:proofErr w:type="spellStart"/>
      <w:r w:rsidRPr="00763E25">
        <w:rPr>
          <w:rFonts w:ascii="Titillium Up" w:hAnsi="Titillium Up" w:cs="Titillium-BoldUpright"/>
          <w:b/>
          <w:bCs/>
          <w:color w:val="0A3776"/>
          <w:sz w:val="32"/>
          <w:szCs w:val="32"/>
        </w:rPr>
        <w:t>Sinfub</w:t>
      </w:r>
      <w:proofErr w:type="spellEnd"/>
      <w:r w:rsidRPr="00763E25">
        <w:rPr>
          <w:rFonts w:ascii="Titillium Up" w:hAnsi="Titillium Up" w:cs="Titillium-BoldUpright"/>
          <w:b/>
          <w:bCs/>
          <w:color w:val="0A3776"/>
          <w:sz w:val="32"/>
          <w:szCs w:val="32"/>
        </w:rPr>
        <w:t xml:space="preserve">  </w:t>
      </w:r>
    </w:p>
    <w:p w14:paraId="1C1BEFAF" w14:textId="77777777" w:rsidR="00BA0550" w:rsidRDefault="00763E25" w:rsidP="00763E25">
      <w:pPr>
        <w:pStyle w:val="Paragrafobase"/>
        <w:tabs>
          <w:tab w:val="left" w:pos="4420"/>
          <w:tab w:val="center" w:pos="5244"/>
        </w:tabs>
        <w:suppressAutoHyphens/>
        <w:spacing w:line="240" w:lineRule="auto"/>
        <w:rPr>
          <w:noProof/>
        </w:rPr>
      </w:pPr>
      <w:r>
        <w:rPr>
          <w:rFonts w:ascii="Titillium Up" w:hAnsi="Titillium Up" w:cs="Titillium-BoldUpright"/>
          <w:b/>
          <w:bCs/>
          <w:color w:val="0A3776"/>
          <w:sz w:val="32"/>
          <w:szCs w:val="32"/>
        </w:rPr>
        <w:tab/>
      </w:r>
      <w:r w:rsidR="00BA0550" w:rsidRPr="00FE3E42">
        <w:rPr>
          <w:rFonts w:ascii="Titillium Up" w:hAnsi="Titillium Up" w:cs="Titillium-BoldUpright"/>
          <w:b/>
          <w:bCs/>
          <w:color w:val="0A3776"/>
          <w:sz w:val="32"/>
          <w:szCs w:val="32"/>
        </w:rPr>
        <w:t xml:space="preserve"> </w:t>
      </w:r>
    </w:p>
    <w:p w14:paraId="76C6BD93" w14:textId="77777777" w:rsidR="00157E3F" w:rsidRPr="009857C8" w:rsidRDefault="0011173B" w:rsidP="00157E3F">
      <w:pPr>
        <w:rPr>
          <w:rFonts w:ascii="Titillium Up" w:hAnsi="Titillium Up"/>
          <w:b/>
          <w:color w:val="17365D"/>
          <w:sz w:val="24"/>
          <w:szCs w:val="24"/>
        </w:rPr>
      </w:pPr>
      <w:r w:rsidRPr="009857C8">
        <w:rPr>
          <w:rFonts w:ascii="Titillium Up" w:hAnsi="Titillium Up"/>
          <w:noProof/>
          <w:sz w:val="24"/>
          <w:szCs w:val="24"/>
        </w:rPr>
        <w:drawing>
          <wp:inline distT="0" distB="0" distL="0" distR="0" wp14:anchorId="637A9868" wp14:editId="7135B913">
            <wp:extent cx="6572250" cy="2266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0" cy="2266950"/>
                    </a:xfrm>
                    <a:prstGeom prst="rect">
                      <a:avLst/>
                    </a:prstGeom>
                    <a:noFill/>
                    <a:ln>
                      <a:noFill/>
                    </a:ln>
                  </pic:spPr>
                </pic:pic>
              </a:graphicData>
            </a:graphic>
          </wp:inline>
        </w:drawing>
      </w:r>
    </w:p>
    <w:p w14:paraId="4163A8AA" w14:textId="77777777" w:rsidR="00157E3F" w:rsidRDefault="00157E3F" w:rsidP="00157E3F">
      <w:pPr>
        <w:rPr>
          <w:rFonts w:ascii="Titillium Up" w:hAnsi="Titillium Up"/>
          <w:b/>
          <w:color w:val="17365D"/>
          <w:sz w:val="24"/>
        </w:rPr>
      </w:pPr>
    </w:p>
    <w:p w14:paraId="274A49C4" w14:textId="77777777" w:rsidR="00763E25" w:rsidRDefault="00763E25" w:rsidP="00157E3F">
      <w:pPr>
        <w:rPr>
          <w:rFonts w:ascii="Titillium Up" w:hAnsi="Titillium Up"/>
          <w:b/>
          <w:color w:val="17365D"/>
          <w:sz w:val="24"/>
        </w:rPr>
      </w:pPr>
    </w:p>
    <w:p w14:paraId="67FCAD08" w14:textId="77777777" w:rsidR="003C52BD" w:rsidRDefault="003C52BD" w:rsidP="00157E3F">
      <w:pPr>
        <w:rPr>
          <w:rFonts w:ascii="Titillium Up" w:hAnsi="Titillium Up"/>
          <w:b/>
          <w:color w:val="17365D"/>
          <w:sz w:val="24"/>
        </w:rPr>
      </w:pPr>
    </w:p>
    <w:p w14:paraId="6386FB06" w14:textId="77777777" w:rsidR="00157E3F" w:rsidRDefault="0011173B" w:rsidP="00157E3F">
      <w:pPr>
        <w:rPr>
          <w:rFonts w:ascii="Titillium Up" w:hAnsi="Titillium Up"/>
          <w:b/>
          <w:color w:val="17365D"/>
          <w:sz w:val="24"/>
        </w:rPr>
      </w:pPr>
      <w:r>
        <w:rPr>
          <w:rFonts w:ascii="Titillium Up" w:hAnsi="Titillium Up"/>
          <w:b/>
          <w:noProof/>
          <w:color w:val="17365D"/>
        </w:rPr>
        <w:drawing>
          <wp:anchor distT="0" distB="0" distL="114300" distR="114300" simplePos="0" relativeHeight="251655680" behindDoc="1" locked="0" layoutInCell="1" allowOverlap="1" wp14:anchorId="350A124D" wp14:editId="5E6CEC50">
            <wp:simplePos x="0" y="0"/>
            <wp:positionH relativeFrom="column">
              <wp:posOffset>4799965</wp:posOffset>
            </wp:positionH>
            <wp:positionV relativeFrom="paragraph">
              <wp:posOffset>34290</wp:posOffset>
            </wp:positionV>
            <wp:extent cx="1930400" cy="741680"/>
            <wp:effectExtent l="0" t="0" r="0" b="0"/>
            <wp:wrapTight wrapText="bothSides">
              <wp:wrapPolygon edited="0">
                <wp:start x="0" y="0"/>
                <wp:lineTo x="0" y="21082"/>
                <wp:lineTo x="21316" y="21082"/>
                <wp:lineTo x="21316" y="0"/>
                <wp:lineTo x="0" y="0"/>
              </wp:wrapPolygon>
            </wp:wrapTight>
            <wp:docPr id="2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040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8FD54" w14:textId="77777777" w:rsidR="003C52BD" w:rsidRDefault="003C52BD" w:rsidP="00157E3F">
      <w:pPr>
        <w:rPr>
          <w:rFonts w:ascii="Titillium Up" w:hAnsi="Titillium Up"/>
          <w:b/>
          <w:color w:val="17365D"/>
          <w:sz w:val="24"/>
          <w:highlight w:val="yellow"/>
        </w:rPr>
      </w:pPr>
    </w:p>
    <w:p w14:paraId="0CFB6BCA" w14:textId="36FA8B88" w:rsidR="00157E3F" w:rsidRPr="00112275" w:rsidRDefault="00157E3F" w:rsidP="00157E3F">
      <w:pPr>
        <w:rPr>
          <w:rFonts w:ascii="Titillium Up" w:hAnsi="Titillium Up"/>
          <w:b/>
          <w:color w:val="17365D"/>
          <w:sz w:val="24"/>
        </w:rPr>
      </w:pPr>
      <w:r w:rsidRPr="00247D2C">
        <w:rPr>
          <w:rFonts w:ascii="Titillium Up" w:hAnsi="Titillium Up"/>
          <w:b/>
          <w:color w:val="17365D"/>
          <w:sz w:val="24"/>
        </w:rPr>
        <w:t xml:space="preserve">Mod. </w:t>
      </w:r>
      <w:r w:rsidR="00D267F0" w:rsidRPr="00247D2C">
        <w:rPr>
          <w:rFonts w:ascii="Titillium Up" w:hAnsi="Titillium Up"/>
          <w:b/>
          <w:color w:val="17365D"/>
          <w:sz w:val="24"/>
        </w:rPr>
        <w:t xml:space="preserve">5001/PROF </w:t>
      </w:r>
      <w:r w:rsidRPr="00247D2C">
        <w:rPr>
          <w:rFonts w:ascii="Titillium Up" w:hAnsi="Titillium Up"/>
          <w:b/>
          <w:color w:val="17365D"/>
          <w:sz w:val="24"/>
        </w:rPr>
        <w:t xml:space="preserve"> </w:t>
      </w:r>
      <w:r w:rsidR="00BA0550" w:rsidRPr="00247D2C">
        <w:rPr>
          <w:rFonts w:ascii="Titillium Up" w:hAnsi="Titillium Up"/>
          <w:b/>
          <w:color w:val="17365D"/>
          <w:sz w:val="24"/>
        </w:rPr>
        <w:t>RCG</w:t>
      </w:r>
      <w:r w:rsidRPr="00247D2C">
        <w:rPr>
          <w:rFonts w:ascii="Titillium Up" w:hAnsi="Titillium Up"/>
          <w:b/>
          <w:color w:val="17365D"/>
          <w:sz w:val="24"/>
        </w:rPr>
        <w:t xml:space="preserve"> - Ed. </w:t>
      </w:r>
    </w:p>
    <w:p w14:paraId="2462E9EB" w14:textId="77777777" w:rsidR="00157E3F" w:rsidRDefault="0011173B" w:rsidP="00157E3F">
      <w:pPr>
        <w:rPr>
          <w:noProof/>
        </w:rPr>
      </w:pPr>
      <w:r>
        <w:rPr>
          <w:noProof/>
        </w:rPr>
        <w:drawing>
          <wp:anchor distT="0" distB="0" distL="114300" distR="114300" simplePos="0" relativeHeight="251656704" behindDoc="0" locked="0" layoutInCell="1" allowOverlap="1" wp14:anchorId="13B298D3" wp14:editId="459D8F60">
            <wp:simplePos x="0" y="0"/>
            <wp:positionH relativeFrom="column">
              <wp:posOffset>4829175</wp:posOffset>
            </wp:positionH>
            <wp:positionV relativeFrom="paragraph">
              <wp:posOffset>125730</wp:posOffset>
            </wp:positionV>
            <wp:extent cx="1827530" cy="228600"/>
            <wp:effectExtent l="0" t="0" r="0" b="0"/>
            <wp:wrapNone/>
            <wp:docPr id="29" name="Immagin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753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4A56E" w14:textId="77777777" w:rsidR="00157E3F" w:rsidRDefault="00157E3F" w:rsidP="00157E3F">
      <w:pPr>
        <w:rPr>
          <w:noProof/>
        </w:rPr>
      </w:pPr>
    </w:p>
    <w:p w14:paraId="0A3B2443" w14:textId="77777777" w:rsidR="000900B2" w:rsidRDefault="000900B2" w:rsidP="000900B2">
      <w:pPr>
        <w:rPr>
          <w:noProof/>
        </w:rPr>
      </w:pPr>
    </w:p>
    <w:p w14:paraId="19EAD3C5" w14:textId="77777777" w:rsidR="000900B2" w:rsidRDefault="000900B2" w:rsidP="000900B2">
      <w:pPr>
        <w:rPr>
          <w:noProof/>
        </w:rPr>
      </w:pPr>
    </w:p>
    <w:p w14:paraId="60CAE43A" w14:textId="77777777" w:rsidR="004A3292" w:rsidRDefault="004A3292" w:rsidP="004A3292">
      <w:pPr>
        <w:tabs>
          <w:tab w:val="left" w:pos="567"/>
        </w:tabs>
        <w:spacing w:line="360" w:lineRule="auto"/>
        <w:ind w:right="352"/>
        <w:jc w:val="both"/>
        <w:rPr>
          <w:rFonts w:ascii="Arial" w:hAnsi="Arial" w:cs="Arial"/>
          <w:b/>
          <w:sz w:val="16"/>
          <w:szCs w:val="16"/>
        </w:rPr>
      </w:pPr>
    </w:p>
    <w:p w14:paraId="62A27473" w14:textId="77777777" w:rsidR="00BA0550" w:rsidRPr="007D2C13" w:rsidRDefault="00BA0550" w:rsidP="00BA0550">
      <w:pPr>
        <w:autoSpaceDE w:val="0"/>
        <w:autoSpaceDN w:val="0"/>
        <w:adjustRightInd w:val="0"/>
        <w:jc w:val="center"/>
        <w:rPr>
          <w:rFonts w:ascii="Titillium Up" w:hAnsi="Titillium Up"/>
          <w:b/>
          <w:bCs/>
          <w:sz w:val="24"/>
          <w:szCs w:val="24"/>
        </w:rPr>
      </w:pPr>
      <w:r w:rsidRPr="007D2C13">
        <w:rPr>
          <w:rFonts w:ascii="Titillium Up" w:hAnsi="Titillium Up"/>
          <w:b/>
          <w:bCs/>
          <w:sz w:val="24"/>
          <w:szCs w:val="24"/>
        </w:rPr>
        <w:t xml:space="preserve">CONVENZIONE </w:t>
      </w:r>
    </w:p>
    <w:p w14:paraId="0D5A4D2D" w14:textId="77777777" w:rsidR="00BA0550" w:rsidRPr="007D2C13" w:rsidRDefault="00BA0550" w:rsidP="00BA0550">
      <w:pPr>
        <w:autoSpaceDE w:val="0"/>
        <w:autoSpaceDN w:val="0"/>
        <w:adjustRightInd w:val="0"/>
        <w:jc w:val="center"/>
        <w:rPr>
          <w:rFonts w:ascii="Titillium Up" w:hAnsi="Titillium Up"/>
          <w:b/>
          <w:bCs/>
          <w:sz w:val="29"/>
          <w:szCs w:val="29"/>
        </w:rPr>
      </w:pPr>
      <w:r w:rsidRPr="007D2C13">
        <w:rPr>
          <w:rFonts w:ascii="Titillium Up" w:hAnsi="Titillium Up"/>
          <w:b/>
          <w:bCs/>
          <w:sz w:val="29"/>
          <w:szCs w:val="29"/>
        </w:rPr>
        <w:t>UNITA’ SINDACALE</w:t>
      </w:r>
    </w:p>
    <w:p w14:paraId="5C4F7251" w14:textId="77777777" w:rsidR="00BA0550" w:rsidRPr="007D2C13" w:rsidRDefault="00BA0550" w:rsidP="00BA0550">
      <w:pPr>
        <w:autoSpaceDE w:val="0"/>
        <w:autoSpaceDN w:val="0"/>
        <w:adjustRightInd w:val="0"/>
        <w:jc w:val="center"/>
        <w:rPr>
          <w:rFonts w:ascii="Titillium Up" w:hAnsi="Titillium Up"/>
          <w:b/>
          <w:bCs/>
          <w:sz w:val="29"/>
          <w:szCs w:val="29"/>
        </w:rPr>
      </w:pPr>
      <w:r w:rsidRPr="007D2C13">
        <w:rPr>
          <w:rFonts w:ascii="Titillium Up" w:hAnsi="Titillium Up"/>
          <w:b/>
          <w:bCs/>
          <w:sz w:val="29"/>
          <w:szCs w:val="29"/>
        </w:rPr>
        <w:t xml:space="preserve"> F.A.L.C.R.I. – S.I.L.C.E.A.-S.I.N.F.U.B</w:t>
      </w:r>
    </w:p>
    <w:p w14:paraId="6EE16564" w14:textId="77777777" w:rsidR="00BA0550" w:rsidRPr="007D2C13" w:rsidRDefault="00BA0550" w:rsidP="00BA0550">
      <w:pPr>
        <w:autoSpaceDE w:val="0"/>
        <w:autoSpaceDN w:val="0"/>
        <w:adjustRightInd w:val="0"/>
        <w:jc w:val="center"/>
        <w:rPr>
          <w:rFonts w:ascii="Titillium Up" w:hAnsi="Titillium Up"/>
          <w:b/>
          <w:bCs/>
          <w:sz w:val="24"/>
          <w:szCs w:val="24"/>
        </w:rPr>
      </w:pPr>
      <w:r w:rsidRPr="007D2C13">
        <w:rPr>
          <w:rFonts w:ascii="Titillium Up" w:hAnsi="Titillium Up"/>
          <w:b/>
          <w:bCs/>
          <w:sz w:val="24"/>
          <w:szCs w:val="24"/>
        </w:rPr>
        <w:t>R.C. PROFESSIONALE</w:t>
      </w:r>
    </w:p>
    <w:p w14:paraId="57FB909B" w14:textId="77777777" w:rsidR="00BA0550" w:rsidRPr="007D2C13" w:rsidRDefault="00BA0550" w:rsidP="00BA0550">
      <w:pPr>
        <w:autoSpaceDE w:val="0"/>
        <w:autoSpaceDN w:val="0"/>
        <w:adjustRightInd w:val="0"/>
        <w:jc w:val="center"/>
        <w:rPr>
          <w:rFonts w:ascii="Titillium Up" w:hAnsi="Titillium Up"/>
          <w:b/>
          <w:bCs/>
          <w:sz w:val="24"/>
          <w:szCs w:val="24"/>
        </w:rPr>
      </w:pPr>
      <w:r w:rsidRPr="007D2C13">
        <w:rPr>
          <w:rFonts w:ascii="Titillium Up" w:hAnsi="Titillium Up"/>
          <w:b/>
          <w:bCs/>
          <w:sz w:val="24"/>
          <w:szCs w:val="24"/>
        </w:rPr>
        <w:t>R.C. FAMIGLIA</w:t>
      </w:r>
    </w:p>
    <w:p w14:paraId="68E77E12" w14:textId="77777777" w:rsidR="007D2C13" w:rsidRDefault="00BA0550" w:rsidP="00BA0550">
      <w:pPr>
        <w:autoSpaceDE w:val="0"/>
        <w:autoSpaceDN w:val="0"/>
        <w:adjustRightInd w:val="0"/>
        <w:rPr>
          <w:rFonts w:ascii="Titillium Up" w:hAnsi="Titillium Up"/>
          <w:sz w:val="24"/>
          <w:szCs w:val="24"/>
        </w:rPr>
      </w:pPr>
      <w:r w:rsidRPr="007D2C13">
        <w:rPr>
          <w:rFonts w:ascii="Titillium Up" w:hAnsi="Titillium Up"/>
          <w:sz w:val="24"/>
          <w:szCs w:val="24"/>
        </w:rPr>
        <w:t>Numero di polizza</w:t>
      </w:r>
    </w:p>
    <w:p w14:paraId="13DC6ABC" w14:textId="77777777" w:rsidR="00BA0550" w:rsidRPr="007D2C13" w:rsidRDefault="00BA0550" w:rsidP="00BA0550">
      <w:pPr>
        <w:autoSpaceDE w:val="0"/>
        <w:autoSpaceDN w:val="0"/>
        <w:adjustRightInd w:val="0"/>
        <w:rPr>
          <w:rFonts w:ascii="Titillium Up" w:hAnsi="Titillium Up"/>
          <w:sz w:val="24"/>
          <w:szCs w:val="24"/>
        </w:rPr>
      </w:pPr>
      <w:r w:rsidRPr="007D2C13">
        <w:rPr>
          <w:rFonts w:ascii="Titillium Up" w:hAnsi="Titillium Up"/>
          <w:sz w:val="24"/>
          <w:szCs w:val="24"/>
        </w:rPr>
        <w:t xml:space="preserve"> </w:t>
      </w:r>
    </w:p>
    <w:p w14:paraId="09F75AE2" w14:textId="77777777" w:rsidR="00BA0550" w:rsidRPr="007D2C13" w:rsidRDefault="00BA0550" w:rsidP="00BA0550">
      <w:pPr>
        <w:autoSpaceDE w:val="0"/>
        <w:autoSpaceDN w:val="0"/>
        <w:adjustRightInd w:val="0"/>
        <w:rPr>
          <w:rFonts w:ascii="Titillium Up" w:hAnsi="Titillium Up"/>
          <w:b/>
          <w:bCs/>
          <w:sz w:val="24"/>
          <w:szCs w:val="24"/>
        </w:rPr>
      </w:pPr>
      <w:r w:rsidRPr="007D2C13">
        <w:rPr>
          <w:rFonts w:ascii="Titillium Up" w:hAnsi="Titillium Up"/>
          <w:b/>
          <w:bCs/>
          <w:sz w:val="24"/>
          <w:szCs w:val="24"/>
        </w:rPr>
        <w:t>…………………..</w:t>
      </w:r>
    </w:p>
    <w:p w14:paraId="7166467F" w14:textId="77777777" w:rsidR="00BA0550" w:rsidRDefault="00BA0550" w:rsidP="00BA0550">
      <w:pPr>
        <w:autoSpaceDE w:val="0"/>
        <w:autoSpaceDN w:val="0"/>
        <w:adjustRightInd w:val="0"/>
        <w:rPr>
          <w:rFonts w:ascii="Titillium Up" w:hAnsi="Titillium Up"/>
          <w:b/>
          <w:bCs/>
          <w:sz w:val="24"/>
          <w:szCs w:val="24"/>
        </w:rPr>
      </w:pPr>
    </w:p>
    <w:p w14:paraId="7BAB7164" w14:textId="77777777" w:rsidR="007D2C13" w:rsidRPr="007D2C13" w:rsidRDefault="007D2C13" w:rsidP="00BA0550">
      <w:pPr>
        <w:autoSpaceDE w:val="0"/>
        <w:autoSpaceDN w:val="0"/>
        <w:adjustRightInd w:val="0"/>
        <w:rPr>
          <w:rFonts w:ascii="Titillium Up" w:hAnsi="Titillium Up"/>
          <w:b/>
          <w:bCs/>
          <w:sz w:val="24"/>
          <w:szCs w:val="24"/>
        </w:rPr>
      </w:pPr>
    </w:p>
    <w:p w14:paraId="7B2A01E2" w14:textId="77777777" w:rsidR="00BA0550" w:rsidRPr="007D2C13" w:rsidRDefault="00BA0550" w:rsidP="00BA0550">
      <w:pPr>
        <w:autoSpaceDE w:val="0"/>
        <w:autoSpaceDN w:val="0"/>
        <w:adjustRightInd w:val="0"/>
        <w:rPr>
          <w:rFonts w:ascii="Titillium Up" w:hAnsi="Titillium Up"/>
          <w:b/>
          <w:bCs/>
          <w:sz w:val="24"/>
          <w:szCs w:val="24"/>
        </w:rPr>
      </w:pPr>
      <w:r w:rsidRPr="007D2C13">
        <w:rPr>
          <w:rFonts w:ascii="Titillium Up" w:hAnsi="Titillium Up"/>
          <w:b/>
          <w:bCs/>
          <w:sz w:val="24"/>
          <w:szCs w:val="24"/>
        </w:rPr>
        <w:t>INTERMEDIARIO:</w:t>
      </w:r>
      <w:r w:rsidRPr="007D2C13">
        <w:rPr>
          <w:rFonts w:ascii="Titillium Up" w:hAnsi="Titillium Up"/>
          <w:b/>
          <w:bCs/>
          <w:sz w:val="24"/>
          <w:szCs w:val="24"/>
        </w:rPr>
        <w:tab/>
      </w:r>
      <w:r w:rsidRPr="007D2C13">
        <w:rPr>
          <w:rFonts w:ascii="Titillium Up" w:hAnsi="Titillium Up"/>
          <w:b/>
          <w:bCs/>
          <w:sz w:val="24"/>
          <w:szCs w:val="24"/>
        </w:rPr>
        <w:tab/>
        <w:t>AMINTA</w:t>
      </w:r>
      <w:r w:rsidR="009A64DC">
        <w:rPr>
          <w:rFonts w:ascii="Titillium Up" w:hAnsi="Titillium Up"/>
          <w:b/>
          <w:bCs/>
          <w:sz w:val="24"/>
          <w:szCs w:val="24"/>
        </w:rPr>
        <w:t xml:space="preserve"> </w:t>
      </w:r>
      <w:r w:rsidRPr="007D2C13">
        <w:rPr>
          <w:rFonts w:ascii="Titillium Up" w:hAnsi="Titillium Up"/>
          <w:b/>
          <w:bCs/>
          <w:sz w:val="24"/>
          <w:szCs w:val="24"/>
        </w:rPr>
        <w:t xml:space="preserve">S.r.l. - Insurance Broker </w:t>
      </w:r>
    </w:p>
    <w:p w14:paraId="15974559" w14:textId="77777777" w:rsidR="00BA0550" w:rsidRPr="007D2C13" w:rsidRDefault="00BA0550" w:rsidP="00BA0550">
      <w:pPr>
        <w:autoSpaceDE w:val="0"/>
        <w:autoSpaceDN w:val="0"/>
        <w:adjustRightInd w:val="0"/>
        <w:ind w:left="1416" w:firstLine="708"/>
        <w:rPr>
          <w:rFonts w:ascii="Titillium Up" w:hAnsi="Titillium Up"/>
          <w:b/>
          <w:bCs/>
          <w:sz w:val="24"/>
          <w:szCs w:val="24"/>
        </w:rPr>
      </w:pPr>
      <w:r w:rsidRPr="007D2C13">
        <w:rPr>
          <w:rFonts w:ascii="Titillium Up" w:hAnsi="Titillium Up"/>
          <w:b/>
          <w:bCs/>
          <w:sz w:val="24"/>
          <w:szCs w:val="24"/>
        </w:rPr>
        <w:tab/>
        <w:t>Consulenze e Gestioni Assicurative</w:t>
      </w:r>
    </w:p>
    <w:p w14:paraId="674C1FC0" w14:textId="77777777" w:rsidR="00BA0550" w:rsidRPr="007D2C13" w:rsidRDefault="00BA0550" w:rsidP="00BA0550">
      <w:pPr>
        <w:autoSpaceDE w:val="0"/>
        <w:autoSpaceDN w:val="0"/>
        <w:adjustRightInd w:val="0"/>
        <w:ind w:left="1416" w:firstLine="708"/>
        <w:rPr>
          <w:rFonts w:ascii="Titillium Up" w:hAnsi="Titillium Up"/>
          <w:b/>
          <w:bCs/>
          <w:sz w:val="24"/>
          <w:szCs w:val="24"/>
        </w:rPr>
      </w:pPr>
      <w:r w:rsidRPr="007D2C13">
        <w:rPr>
          <w:rFonts w:ascii="Titillium Up" w:hAnsi="Titillium Up"/>
          <w:b/>
          <w:bCs/>
          <w:sz w:val="24"/>
          <w:szCs w:val="24"/>
        </w:rPr>
        <w:tab/>
        <w:t>Corso Correnti 58/A 10136 Torino</w:t>
      </w:r>
    </w:p>
    <w:p w14:paraId="6E6B0055" w14:textId="77777777" w:rsidR="00BA0550" w:rsidRPr="007D2C13" w:rsidRDefault="00BA0550" w:rsidP="00BA0550">
      <w:pPr>
        <w:autoSpaceDE w:val="0"/>
        <w:autoSpaceDN w:val="0"/>
        <w:adjustRightInd w:val="0"/>
        <w:ind w:left="1416" w:firstLine="708"/>
        <w:rPr>
          <w:rFonts w:ascii="Titillium Up" w:hAnsi="Titillium Up"/>
          <w:b/>
          <w:bCs/>
          <w:sz w:val="24"/>
          <w:szCs w:val="24"/>
        </w:rPr>
      </w:pPr>
      <w:r w:rsidRPr="007D2C13">
        <w:rPr>
          <w:rFonts w:ascii="Titillium Up" w:hAnsi="Titillium Up"/>
          <w:b/>
          <w:bCs/>
          <w:sz w:val="24"/>
          <w:szCs w:val="24"/>
        </w:rPr>
        <w:tab/>
        <w:t>www.amintabroker.com</w:t>
      </w:r>
    </w:p>
    <w:p w14:paraId="19F8B930" w14:textId="77777777" w:rsidR="00BA0550" w:rsidRPr="007D2C13" w:rsidRDefault="00BA0550" w:rsidP="00BA0550">
      <w:pPr>
        <w:autoSpaceDE w:val="0"/>
        <w:autoSpaceDN w:val="0"/>
        <w:adjustRightInd w:val="0"/>
        <w:rPr>
          <w:rFonts w:ascii="Titillium Up" w:hAnsi="Titillium Up"/>
          <w:sz w:val="24"/>
          <w:szCs w:val="24"/>
        </w:rPr>
      </w:pPr>
    </w:p>
    <w:p w14:paraId="75E52719" w14:textId="77777777" w:rsidR="00BA0550" w:rsidRPr="007D2C13" w:rsidRDefault="00BA0550" w:rsidP="00BA0550">
      <w:pPr>
        <w:autoSpaceDE w:val="0"/>
        <w:autoSpaceDN w:val="0"/>
        <w:adjustRightInd w:val="0"/>
        <w:ind w:left="2124" w:hanging="2124"/>
        <w:rPr>
          <w:rFonts w:ascii="Titillium Up" w:hAnsi="Titillium Up"/>
          <w:b/>
          <w:sz w:val="24"/>
          <w:szCs w:val="24"/>
        </w:rPr>
      </w:pPr>
      <w:r w:rsidRPr="007D2C13">
        <w:rPr>
          <w:rFonts w:ascii="Titillium Up" w:hAnsi="Titillium Up"/>
          <w:b/>
          <w:bCs/>
          <w:sz w:val="24"/>
          <w:szCs w:val="24"/>
        </w:rPr>
        <w:t>CONTRAENTE</w:t>
      </w:r>
      <w:r w:rsidRPr="007D2C13">
        <w:rPr>
          <w:rFonts w:ascii="Titillium Up" w:hAnsi="Titillium Up"/>
          <w:sz w:val="24"/>
          <w:szCs w:val="24"/>
        </w:rPr>
        <w:t xml:space="preserve"> :</w:t>
      </w:r>
      <w:r w:rsidRPr="007D2C13">
        <w:rPr>
          <w:rFonts w:ascii="Titillium Up" w:hAnsi="Titillium Up"/>
          <w:sz w:val="24"/>
          <w:szCs w:val="24"/>
        </w:rPr>
        <w:tab/>
      </w:r>
      <w:r w:rsidRPr="007D2C13">
        <w:rPr>
          <w:rFonts w:ascii="Titillium Up" w:hAnsi="Titillium Up"/>
          <w:sz w:val="24"/>
          <w:szCs w:val="24"/>
        </w:rPr>
        <w:tab/>
      </w:r>
      <w:r w:rsidRPr="007D2C13">
        <w:rPr>
          <w:rFonts w:ascii="Titillium Up" w:hAnsi="Titillium Up"/>
          <w:b/>
          <w:sz w:val="24"/>
          <w:szCs w:val="24"/>
        </w:rPr>
        <w:t>UNITA’ SINDACALE  F.A.L.C.R.I. – S.I.L.C.E.A.-S.I.N.F.U.B.</w:t>
      </w:r>
    </w:p>
    <w:p w14:paraId="7319E0EA" w14:textId="77777777" w:rsidR="00BA0550" w:rsidRPr="007D2C13" w:rsidRDefault="00BA0550" w:rsidP="00BA0550">
      <w:pPr>
        <w:autoSpaceDE w:val="0"/>
        <w:autoSpaceDN w:val="0"/>
        <w:adjustRightInd w:val="0"/>
        <w:ind w:left="2124" w:hanging="2124"/>
        <w:rPr>
          <w:rFonts w:ascii="Titillium Up" w:hAnsi="Titillium Up"/>
          <w:b/>
          <w:sz w:val="24"/>
          <w:szCs w:val="24"/>
        </w:rPr>
      </w:pPr>
      <w:r w:rsidRPr="007D2C13">
        <w:rPr>
          <w:rFonts w:ascii="Titillium Up" w:hAnsi="Titillium Up"/>
          <w:b/>
          <w:sz w:val="24"/>
          <w:szCs w:val="24"/>
        </w:rPr>
        <w:t xml:space="preserve">                                   </w:t>
      </w:r>
      <w:r w:rsidRPr="007D2C13">
        <w:rPr>
          <w:rFonts w:ascii="Titillium Up" w:hAnsi="Titillium Up"/>
          <w:b/>
          <w:sz w:val="24"/>
          <w:szCs w:val="24"/>
        </w:rPr>
        <w:tab/>
      </w:r>
      <w:r w:rsidRPr="007D2C13">
        <w:rPr>
          <w:rFonts w:ascii="Titillium Up" w:hAnsi="Titillium Up"/>
          <w:b/>
          <w:sz w:val="24"/>
          <w:szCs w:val="24"/>
        </w:rPr>
        <w:tab/>
        <w:t xml:space="preserve">Viale Liegi 48/b   00198 ROMA </w:t>
      </w:r>
    </w:p>
    <w:p w14:paraId="42D67482" w14:textId="77777777" w:rsidR="00BA0550" w:rsidRPr="007D2C13" w:rsidRDefault="00BA0550" w:rsidP="00BA0550">
      <w:pPr>
        <w:autoSpaceDE w:val="0"/>
        <w:autoSpaceDN w:val="0"/>
        <w:adjustRightInd w:val="0"/>
        <w:ind w:left="2124" w:hanging="2124"/>
        <w:rPr>
          <w:rFonts w:ascii="Titillium Up" w:hAnsi="Titillium Up"/>
          <w:b/>
          <w:sz w:val="24"/>
          <w:szCs w:val="24"/>
        </w:rPr>
      </w:pPr>
      <w:r w:rsidRPr="007D2C13">
        <w:rPr>
          <w:rFonts w:ascii="Titillium Up" w:hAnsi="Titillium Up"/>
          <w:b/>
          <w:sz w:val="24"/>
          <w:szCs w:val="24"/>
        </w:rPr>
        <w:tab/>
      </w:r>
      <w:r w:rsidRPr="007D2C13">
        <w:rPr>
          <w:rFonts w:ascii="Titillium Up" w:hAnsi="Titillium Up"/>
          <w:b/>
          <w:sz w:val="24"/>
          <w:szCs w:val="24"/>
        </w:rPr>
        <w:tab/>
        <w:t>Cod. fiscale  80418190585</w:t>
      </w:r>
    </w:p>
    <w:p w14:paraId="384070AD" w14:textId="77777777" w:rsidR="00BA0550" w:rsidRPr="007D2C13" w:rsidRDefault="00BA0550" w:rsidP="00BA0550">
      <w:pPr>
        <w:autoSpaceDE w:val="0"/>
        <w:autoSpaceDN w:val="0"/>
        <w:adjustRightInd w:val="0"/>
        <w:ind w:left="2124" w:hanging="2124"/>
        <w:rPr>
          <w:rFonts w:ascii="Titillium Up" w:hAnsi="Titillium Up"/>
          <w:b/>
          <w:bCs/>
          <w:sz w:val="24"/>
          <w:szCs w:val="24"/>
        </w:rPr>
      </w:pPr>
    </w:p>
    <w:p w14:paraId="1B2F6156" w14:textId="77777777" w:rsidR="00BA0550" w:rsidRPr="007D2C13" w:rsidRDefault="00BA0550" w:rsidP="00BA0550">
      <w:pPr>
        <w:autoSpaceDE w:val="0"/>
        <w:autoSpaceDN w:val="0"/>
        <w:adjustRightInd w:val="0"/>
        <w:rPr>
          <w:rFonts w:ascii="Titillium Up" w:hAnsi="Titillium Up"/>
          <w:b/>
          <w:bCs/>
          <w:sz w:val="24"/>
          <w:szCs w:val="24"/>
        </w:rPr>
      </w:pPr>
    </w:p>
    <w:p w14:paraId="03B5D479" w14:textId="77777777" w:rsidR="00BA0550" w:rsidRPr="007D2C13" w:rsidRDefault="00BA0550" w:rsidP="00BA0550">
      <w:pPr>
        <w:autoSpaceDE w:val="0"/>
        <w:autoSpaceDN w:val="0"/>
        <w:adjustRightInd w:val="0"/>
        <w:rPr>
          <w:rFonts w:ascii="Titillium Up" w:hAnsi="Titillium Up"/>
          <w:b/>
          <w:bCs/>
          <w:sz w:val="24"/>
          <w:szCs w:val="24"/>
        </w:rPr>
      </w:pPr>
      <w:r w:rsidRPr="007D2C13">
        <w:rPr>
          <w:rFonts w:ascii="Titillium Up" w:hAnsi="Titillium Up"/>
          <w:b/>
          <w:bCs/>
          <w:sz w:val="24"/>
          <w:szCs w:val="24"/>
        </w:rPr>
        <w:t>ESTREMI DEL CONTRATTO:</w:t>
      </w:r>
    </w:p>
    <w:p w14:paraId="71A4CA38" w14:textId="4357D86F" w:rsidR="00BA0550" w:rsidRPr="007D2C13" w:rsidRDefault="00BA0550" w:rsidP="00BA0550">
      <w:pPr>
        <w:autoSpaceDE w:val="0"/>
        <w:autoSpaceDN w:val="0"/>
        <w:adjustRightInd w:val="0"/>
        <w:rPr>
          <w:rFonts w:ascii="Titillium Up" w:hAnsi="Titillium Up"/>
          <w:sz w:val="24"/>
          <w:szCs w:val="24"/>
        </w:rPr>
      </w:pPr>
      <w:r w:rsidRPr="007D2C13">
        <w:rPr>
          <w:rFonts w:ascii="Titillium Up" w:hAnsi="Titillium Up"/>
          <w:sz w:val="24"/>
          <w:szCs w:val="24"/>
        </w:rPr>
        <w:t>Decorrenza ore 24 del 31.12.202</w:t>
      </w:r>
      <w:r w:rsidR="00207BC5">
        <w:rPr>
          <w:rFonts w:ascii="Titillium Up" w:hAnsi="Titillium Up"/>
          <w:sz w:val="24"/>
          <w:szCs w:val="24"/>
        </w:rPr>
        <w:t>1</w:t>
      </w:r>
      <w:r w:rsidRPr="007D2C13">
        <w:rPr>
          <w:rFonts w:ascii="Titillium Up" w:hAnsi="Titillium Up"/>
          <w:sz w:val="24"/>
          <w:szCs w:val="24"/>
        </w:rPr>
        <w:t xml:space="preserve"> Scadenza ore 24 del 31.12.202</w:t>
      </w:r>
      <w:r w:rsidR="00207BC5">
        <w:rPr>
          <w:rFonts w:ascii="Titillium Up" w:hAnsi="Titillium Up"/>
          <w:sz w:val="24"/>
          <w:szCs w:val="24"/>
        </w:rPr>
        <w:t>2</w:t>
      </w:r>
    </w:p>
    <w:p w14:paraId="59EEC33F" w14:textId="77777777" w:rsidR="00BA0550" w:rsidRPr="007D2C13" w:rsidRDefault="00BA0550" w:rsidP="00BA0550">
      <w:pPr>
        <w:autoSpaceDE w:val="0"/>
        <w:autoSpaceDN w:val="0"/>
        <w:adjustRightInd w:val="0"/>
        <w:rPr>
          <w:rFonts w:ascii="Titillium Up" w:hAnsi="Titillium Up"/>
          <w:sz w:val="24"/>
          <w:szCs w:val="24"/>
        </w:rPr>
      </w:pPr>
      <w:r w:rsidRPr="007D2C13">
        <w:rPr>
          <w:rFonts w:ascii="Titillium Up" w:hAnsi="Titillium Up"/>
          <w:sz w:val="24"/>
          <w:szCs w:val="24"/>
        </w:rPr>
        <w:t>Senza Tacita Proroga</w:t>
      </w:r>
    </w:p>
    <w:p w14:paraId="37C5404C" w14:textId="77777777" w:rsidR="00BA0550" w:rsidRPr="007D2C13" w:rsidRDefault="00BA0550" w:rsidP="00BA0550">
      <w:pPr>
        <w:autoSpaceDE w:val="0"/>
        <w:autoSpaceDN w:val="0"/>
        <w:adjustRightInd w:val="0"/>
        <w:rPr>
          <w:rFonts w:ascii="Titillium Up" w:hAnsi="Titillium Up"/>
          <w:sz w:val="24"/>
          <w:szCs w:val="24"/>
        </w:rPr>
      </w:pPr>
    </w:p>
    <w:p w14:paraId="2540797B" w14:textId="77777777" w:rsidR="00BF27EB" w:rsidRPr="007D2C13" w:rsidRDefault="00BF27EB" w:rsidP="00BF27EB">
      <w:pPr>
        <w:autoSpaceDE w:val="0"/>
        <w:autoSpaceDN w:val="0"/>
        <w:adjustRightInd w:val="0"/>
        <w:rPr>
          <w:rFonts w:ascii="Titillium Up" w:hAnsi="Titillium Up"/>
          <w:sz w:val="24"/>
          <w:szCs w:val="24"/>
        </w:rPr>
      </w:pPr>
    </w:p>
    <w:p w14:paraId="35811D4E" w14:textId="77777777" w:rsidR="00BF27EB" w:rsidRPr="007D2C13" w:rsidRDefault="00BF27EB" w:rsidP="00BF27EB">
      <w:pPr>
        <w:rPr>
          <w:rFonts w:ascii="Titillium Up" w:hAnsi="Titillium Up"/>
          <w:sz w:val="24"/>
          <w:szCs w:val="24"/>
        </w:rPr>
      </w:pPr>
      <w:r w:rsidRPr="007D2C13">
        <w:rPr>
          <w:rFonts w:ascii="Titillium Up" w:hAnsi="Titillium Up"/>
          <w:sz w:val="24"/>
          <w:szCs w:val="24"/>
        </w:rPr>
        <w:t>Premio anticipato TOTALE della rata unica € 1.000,00= così scorporato: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5"/>
        <w:gridCol w:w="1956"/>
        <w:gridCol w:w="1956"/>
      </w:tblGrid>
      <w:tr w:rsidR="00BF27EB" w:rsidRPr="007D2C13" w14:paraId="302EB26E" w14:textId="77777777" w:rsidTr="00CA00CA">
        <w:tc>
          <w:tcPr>
            <w:tcW w:w="1885" w:type="dxa"/>
          </w:tcPr>
          <w:p w14:paraId="354E06F6" w14:textId="77777777" w:rsidR="00BF27EB" w:rsidRPr="007D2C13" w:rsidRDefault="00BF27EB" w:rsidP="00CA00CA">
            <w:pPr>
              <w:jc w:val="center"/>
              <w:rPr>
                <w:rFonts w:ascii="Titillium Up" w:hAnsi="Titillium Up"/>
                <w:sz w:val="24"/>
                <w:szCs w:val="24"/>
              </w:rPr>
            </w:pPr>
            <w:r w:rsidRPr="007D2C13">
              <w:rPr>
                <w:rFonts w:ascii="Titillium Up" w:hAnsi="Titillium Up"/>
                <w:sz w:val="24"/>
                <w:szCs w:val="24"/>
              </w:rPr>
              <w:t>premio netto</w:t>
            </w:r>
          </w:p>
        </w:tc>
        <w:tc>
          <w:tcPr>
            <w:tcW w:w="1956" w:type="dxa"/>
          </w:tcPr>
          <w:p w14:paraId="0D6DEC1A" w14:textId="77777777" w:rsidR="00BF27EB" w:rsidRPr="007D2C13" w:rsidRDefault="00BF27EB" w:rsidP="00CA00CA">
            <w:pPr>
              <w:jc w:val="center"/>
              <w:rPr>
                <w:rFonts w:ascii="Titillium Up" w:hAnsi="Titillium Up"/>
                <w:sz w:val="24"/>
                <w:szCs w:val="24"/>
              </w:rPr>
            </w:pPr>
            <w:r w:rsidRPr="007D2C13">
              <w:rPr>
                <w:rFonts w:ascii="Titillium Up" w:hAnsi="Titillium Up"/>
                <w:sz w:val="24"/>
                <w:szCs w:val="24"/>
              </w:rPr>
              <w:t>Imposte 22,25%</w:t>
            </w:r>
          </w:p>
        </w:tc>
        <w:tc>
          <w:tcPr>
            <w:tcW w:w="1956" w:type="dxa"/>
          </w:tcPr>
          <w:p w14:paraId="4D076807" w14:textId="77777777" w:rsidR="00BF27EB" w:rsidRPr="007D2C13" w:rsidRDefault="00BF27EB" w:rsidP="00CA00CA">
            <w:pPr>
              <w:jc w:val="center"/>
              <w:rPr>
                <w:rFonts w:ascii="Titillium Up" w:hAnsi="Titillium Up"/>
                <w:sz w:val="24"/>
                <w:szCs w:val="24"/>
              </w:rPr>
            </w:pPr>
            <w:r w:rsidRPr="007D2C13">
              <w:rPr>
                <w:rFonts w:ascii="Titillium Up" w:hAnsi="Titillium Up"/>
                <w:sz w:val="24"/>
                <w:szCs w:val="24"/>
              </w:rPr>
              <w:t>TOTALE</w:t>
            </w:r>
          </w:p>
        </w:tc>
      </w:tr>
      <w:tr w:rsidR="00BF27EB" w:rsidRPr="007D2C13" w14:paraId="51C788A1" w14:textId="77777777" w:rsidTr="00CA00CA">
        <w:tc>
          <w:tcPr>
            <w:tcW w:w="1885" w:type="dxa"/>
          </w:tcPr>
          <w:p w14:paraId="0A7FF04B" w14:textId="77777777" w:rsidR="00BF27EB" w:rsidRPr="007D2C13" w:rsidRDefault="00BF27EB" w:rsidP="00CA00CA">
            <w:pPr>
              <w:jc w:val="center"/>
              <w:rPr>
                <w:rFonts w:ascii="Titillium Up" w:hAnsi="Titillium Up"/>
                <w:b/>
                <w:bCs/>
                <w:sz w:val="24"/>
                <w:szCs w:val="24"/>
              </w:rPr>
            </w:pPr>
            <w:r w:rsidRPr="007D2C13">
              <w:rPr>
                <w:rFonts w:ascii="Titillium Up" w:hAnsi="Titillium Up"/>
                <w:b/>
                <w:bCs/>
                <w:sz w:val="24"/>
                <w:szCs w:val="24"/>
              </w:rPr>
              <w:t>817,95</w:t>
            </w:r>
          </w:p>
        </w:tc>
        <w:tc>
          <w:tcPr>
            <w:tcW w:w="1956" w:type="dxa"/>
          </w:tcPr>
          <w:p w14:paraId="693227EA" w14:textId="77777777" w:rsidR="00BF27EB" w:rsidRPr="007D2C13" w:rsidRDefault="00BF27EB" w:rsidP="00CA00CA">
            <w:pPr>
              <w:jc w:val="center"/>
              <w:rPr>
                <w:rFonts w:ascii="Titillium Up" w:hAnsi="Titillium Up"/>
                <w:b/>
                <w:bCs/>
                <w:sz w:val="24"/>
                <w:szCs w:val="24"/>
              </w:rPr>
            </w:pPr>
            <w:r w:rsidRPr="007D2C13">
              <w:rPr>
                <w:rFonts w:ascii="Titillium Up" w:hAnsi="Titillium Up"/>
                <w:b/>
                <w:bCs/>
                <w:sz w:val="24"/>
                <w:szCs w:val="24"/>
              </w:rPr>
              <w:t>182,05</w:t>
            </w:r>
          </w:p>
        </w:tc>
        <w:tc>
          <w:tcPr>
            <w:tcW w:w="1956" w:type="dxa"/>
          </w:tcPr>
          <w:p w14:paraId="44321E77" w14:textId="77777777" w:rsidR="00BF27EB" w:rsidRPr="007D2C13" w:rsidRDefault="00BF27EB" w:rsidP="00CA00CA">
            <w:pPr>
              <w:jc w:val="center"/>
              <w:rPr>
                <w:rFonts w:ascii="Titillium Up" w:hAnsi="Titillium Up"/>
                <w:b/>
                <w:bCs/>
                <w:sz w:val="24"/>
                <w:szCs w:val="24"/>
              </w:rPr>
            </w:pPr>
            <w:r w:rsidRPr="007D2C13">
              <w:rPr>
                <w:rFonts w:ascii="Titillium Up" w:hAnsi="Titillium Up"/>
                <w:b/>
                <w:bCs/>
                <w:sz w:val="24"/>
                <w:szCs w:val="24"/>
              </w:rPr>
              <w:t>1.000,00</w:t>
            </w:r>
          </w:p>
        </w:tc>
      </w:tr>
    </w:tbl>
    <w:p w14:paraId="6ED17AAD" w14:textId="387F16F9" w:rsidR="00BF27EB" w:rsidRPr="007D2C13" w:rsidRDefault="00BF27EB" w:rsidP="00BF27EB">
      <w:pPr>
        <w:rPr>
          <w:rFonts w:ascii="Titillium Up" w:hAnsi="Titillium Up"/>
          <w:sz w:val="24"/>
          <w:szCs w:val="24"/>
        </w:rPr>
      </w:pPr>
      <w:r w:rsidRPr="007D2C13">
        <w:rPr>
          <w:rFonts w:ascii="Titillium Up" w:hAnsi="Titillium Up"/>
          <w:sz w:val="24"/>
          <w:szCs w:val="24"/>
        </w:rPr>
        <w:t>NB Il premio anticipato sarà dedotto dalla prima regolazione del premio al 31.01.202</w:t>
      </w:r>
      <w:r w:rsidR="00207BC5">
        <w:rPr>
          <w:rFonts w:ascii="Titillium Up" w:hAnsi="Titillium Up"/>
          <w:sz w:val="24"/>
          <w:szCs w:val="24"/>
        </w:rPr>
        <w:t>2</w:t>
      </w:r>
      <w:r w:rsidRPr="007D2C13">
        <w:rPr>
          <w:rFonts w:ascii="Titillium Up" w:hAnsi="Titillium Up"/>
          <w:sz w:val="24"/>
          <w:szCs w:val="24"/>
        </w:rPr>
        <w:t>.</w:t>
      </w:r>
    </w:p>
    <w:p w14:paraId="755C3827" w14:textId="7EA11D6E" w:rsidR="00BF27EB" w:rsidRDefault="00BF27EB" w:rsidP="00BF27EB">
      <w:pPr>
        <w:autoSpaceDE w:val="0"/>
        <w:autoSpaceDN w:val="0"/>
        <w:adjustRightInd w:val="0"/>
        <w:rPr>
          <w:sz w:val="24"/>
          <w:szCs w:val="24"/>
        </w:rPr>
      </w:pPr>
    </w:p>
    <w:p w14:paraId="05F2F00A" w14:textId="53EF5279" w:rsidR="00207BC5" w:rsidRDefault="00207BC5" w:rsidP="00BF27EB">
      <w:pPr>
        <w:autoSpaceDE w:val="0"/>
        <w:autoSpaceDN w:val="0"/>
        <w:adjustRightInd w:val="0"/>
        <w:rPr>
          <w:sz w:val="24"/>
          <w:szCs w:val="24"/>
        </w:rPr>
      </w:pPr>
    </w:p>
    <w:p w14:paraId="1F3BD78E" w14:textId="55C93621" w:rsidR="00207BC5" w:rsidRDefault="00207BC5" w:rsidP="00BF27EB">
      <w:pPr>
        <w:autoSpaceDE w:val="0"/>
        <w:autoSpaceDN w:val="0"/>
        <w:adjustRightInd w:val="0"/>
        <w:rPr>
          <w:sz w:val="24"/>
          <w:szCs w:val="24"/>
        </w:rPr>
      </w:pPr>
    </w:p>
    <w:p w14:paraId="232E7E23" w14:textId="49A9B8A4" w:rsidR="00207BC5" w:rsidRDefault="00207BC5" w:rsidP="00BF27EB">
      <w:pPr>
        <w:autoSpaceDE w:val="0"/>
        <w:autoSpaceDN w:val="0"/>
        <w:adjustRightInd w:val="0"/>
        <w:rPr>
          <w:sz w:val="24"/>
          <w:szCs w:val="24"/>
        </w:rPr>
      </w:pPr>
    </w:p>
    <w:p w14:paraId="0F1D40B3" w14:textId="7047D3B0" w:rsidR="00207BC5" w:rsidRDefault="00207BC5" w:rsidP="00BF27EB">
      <w:pPr>
        <w:autoSpaceDE w:val="0"/>
        <w:autoSpaceDN w:val="0"/>
        <w:adjustRightInd w:val="0"/>
        <w:rPr>
          <w:sz w:val="24"/>
          <w:szCs w:val="24"/>
        </w:rPr>
      </w:pPr>
    </w:p>
    <w:p w14:paraId="0E90FDC7" w14:textId="6B647210" w:rsidR="00207BC5" w:rsidRDefault="00207BC5" w:rsidP="00BF27EB">
      <w:pPr>
        <w:autoSpaceDE w:val="0"/>
        <w:autoSpaceDN w:val="0"/>
        <w:adjustRightInd w:val="0"/>
        <w:rPr>
          <w:sz w:val="24"/>
          <w:szCs w:val="24"/>
        </w:rPr>
      </w:pPr>
    </w:p>
    <w:p w14:paraId="0778C78D" w14:textId="3F8C29E4" w:rsidR="00207BC5" w:rsidRDefault="00207BC5" w:rsidP="00BF27EB">
      <w:pPr>
        <w:autoSpaceDE w:val="0"/>
        <w:autoSpaceDN w:val="0"/>
        <w:adjustRightInd w:val="0"/>
        <w:rPr>
          <w:sz w:val="24"/>
          <w:szCs w:val="24"/>
        </w:rPr>
      </w:pPr>
    </w:p>
    <w:p w14:paraId="7F2FD61B" w14:textId="6935D88B" w:rsidR="00207BC5" w:rsidRDefault="00207BC5" w:rsidP="00BF27EB">
      <w:pPr>
        <w:autoSpaceDE w:val="0"/>
        <w:autoSpaceDN w:val="0"/>
        <w:adjustRightInd w:val="0"/>
        <w:rPr>
          <w:sz w:val="24"/>
          <w:szCs w:val="24"/>
        </w:rPr>
      </w:pPr>
    </w:p>
    <w:p w14:paraId="51C14DBF" w14:textId="7FD07EE3" w:rsidR="00207BC5" w:rsidRDefault="00207BC5" w:rsidP="00BF27EB">
      <w:pPr>
        <w:autoSpaceDE w:val="0"/>
        <w:autoSpaceDN w:val="0"/>
        <w:adjustRightInd w:val="0"/>
        <w:rPr>
          <w:sz w:val="24"/>
          <w:szCs w:val="24"/>
        </w:rPr>
      </w:pPr>
    </w:p>
    <w:p w14:paraId="7CA0B6E2" w14:textId="3C94F603" w:rsidR="00207BC5" w:rsidRDefault="00207BC5" w:rsidP="00BF27EB">
      <w:pPr>
        <w:autoSpaceDE w:val="0"/>
        <w:autoSpaceDN w:val="0"/>
        <w:adjustRightInd w:val="0"/>
        <w:rPr>
          <w:sz w:val="24"/>
          <w:szCs w:val="24"/>
        </w:rPr>
      </w:pPr>
    </w:p>
    <w:p w14:paraId="39AE98F2" w14:textId="77777777" w:rsidR="00207BC5" w:rsidRPr="007D2519" w:rsidRDefault="00207BC5" w:rsidP="00BF27EB">
      <w:pPr>
        <w:autoSpaceDE w:val="0"/>
        <w:autoSpaceDN w:val="0"/>
        <w:adjustRightInd w:val="0"/>
        <w:rPr>
          <w:sz w:val="24"/>
          <w:szCs w:val="24"/>
        </w:rPr>
      </w:pPr>
    </w:p>
    <w:p w14:paraId="6DE3335D" w14:textId="77777777" w:rsidR="007D2C13" w:rsidRDefault="00F05BEF" w:rsidP="00F05BEF">
      <w:pPr>
        <w:widowControl w:val="0"/>
        <w:suppressAutoHyphens/>
        <w:autoSpaceDE w:val="0"/>
        <w:autoSpaceDN w:val="0"/>
        <w:adjustRightInd w:val="0"/>
        <w:textAlignment w:val="center"/>
        <w:rPr>
          <w:rFonts w:ascii="Titillium Up" w:hAnsi="Titillium Up" w:cs="Arial"/>
          <w:b/>
          <w:bCs/>
          <w:color w:val="0070C0"/>
          <w:sz w:val="30"/>
          <w:szCs w:val="24"/>
          <w:u w:val="single"/>
        </w:rPr>
      </w:pPr>
      <w:r w:rsidRPr="00EF250E">
        <w:rPr>
          <w:rFonts w:ascii="Titillium Up" w:hAnsi="Titillium Up" w:cs="Arial"/>
          <w:b/>
          <w:bCs/>
          <w:color w:val="0070C0"/>
          <w:sz w:val="30"/>
          <w:szCs w:val="24"/>
          <w:u w:val="single"/>
        </w:rPr>
        <w:lastRenderedPageBreak/>
        <w:t xml:space="preserve">INDICE  </w:t>
      </w:r>
    </w:p>
    <w:p w14:paraId="40367916" w14:textId="77777777" w:rsidR="00F05BEF" w:rsidRPr="00EF250E" w:rsidRDefault="00F05BEF" w:rsidP="00F05BEF">
      <w:pPr>
        <w:widowControl w:val="0"/>
        <w:suppressAutoHyphens/>
        <w:autoSpaceDE w:val="0"/>
        <w:autoSpaceDN w:val="0"/>
        <w:adjustRightInd w:val="0"/>
        <w:textAlignment w:val="center"/>
        <w:rPr>
          <w:rFonts w:ascii="Titillium Up" w:hAnsi="Titillium Up" w:cs="Arial"/>
          <w:b/>
          <w:bCs/>
          <w:color w:val="0070C0"/>
          <w:sz w:val="30"/>
          <w:szCs w:val="24"/>
          <w:u w:val="single"/>
        </w:rPr>
      </w:pPr>
      <w:r w:rsidRPr="00EF250E">
        <w:rPr>
          <w:rFonts w:ascii="Titillium Up" w:hAnsi="Titillium Up" w:cs="Arial"/>
          <w:b/>
          <w:bCs/>
          <w:color w:val="0070C0"/>
          <w:sz w:val="30"/>
          <w:szCs w:val="24"/>
          <w:u w:val="single"/>
        </w:rPr>
        <w:t xml:space="preserve">                                                                                                                                     </w:t>
      </w:r>
    </w:p>
    <w:p w14:paraId="04D0160A" w14:textId="77777777" w:rsidR="00B7258D" w:rsidRPr="00FE4804" w:rsidRDefault="001E1576" w:rsidP="00373CAA">
      <w:pPr>
        <w:pStyle w:val="Sommario1"/>
      </w:pPr>
      <w:r w:rsidRPr="00FE4804">
        <w:t xml:space="preserve">1. </w:t>
      </w:r>
      <w:r w:rsidR="00B7258D" w:rsidRPr="00FE4804">
        <w:t>GLOSSARIO</w:t>
      </w:r>
      <w:r w:rsidR="00B7258D" w:rsidRPr="00FE4804">
        <w:tab/>
      </w:r>
      <w:r w:rsidR="00FE4804" w:rsidRPr="00FE4804">
        <w:t>4</w:t>
      </w:r>
    </w:p>
    <w:p w14:paraId="3DEA3754" w14:textId="77777777" w:rsidR="001E1576" w:rsidRPr="00FE4804" w:rsidRDefault="001E1576" w:rsidP="001E1576"/>
    <w:p w14:paraId="5D59661C" w14:textId="77777777" w:rsidR="001E1576" w:rsidRPr="00FE4804" w:rsidRDefault="0020767D" w:rsidP="00373CAA">
      <w:pPr>
        <w:pStyle w:val="Sommario1"/>
      </w:pPr>
      <w:r w:rsidRPr="00FE4804">
        <w:t>2</w:t>
      </w:r>
      <w:r w:rsidR="001E1576" w:rsidRPr="00FE4804">
        <w:t>. RC PROFESSIONALE</w:t>
      </w:r>
      <w:r w:rsidR="001E1576" w:rsidRPr="00FE4804">
        <w:tab/>
      </w:r>
      <w:r w:rsidR="00FE4804" w:rsidRPr="00FE4804">
        <w:t>6</w:t>
      </w:r>
    </w:p>
    <w:p w14:paraId="49AF1CC8" w14:textId="77777777" w:rsidR="00147CCC" w:rsidRPr="00FE4804" w:rsidRDefault="0020767D" w:rsidP="00147CCC">
      <w:pPr>
        <w:pStyle w:val="Sommario2"/>
        <w:tabs>
          <w:tab w:val="right" w:leader="dot" w:pos="10489"/>
        </w:tabs>
        <w:ind w:left="216"/>
      </w:pPr>
      <w:r w:rsidRPr="00FE4804">
        <w:rPr>
          <w:rFonts w:ascii="Titillium Up" w:hAnsi="Titillium Up"/>
          <w:sz w:val="24"/>
          <w:szCs w:val="24"/>
        </w:rPr>
        <w:t>2</w:t>
      </w:r>
      <w:r w:rsidR="00147CCC" w:rsidRPr="00FE4804">
        <w:rPr>
          <w:rFonts w:ascii="Titillium Up" w:hAnsi="Titillium Up"/>
          <w:sz w:val="24"/>
          <w:szCs w:val="24"/>
        </w:rPr>
        <w:t>.1 Oggetto dell’assicurazione</w:t>
      </w:r>
      <w:r w:rsidR="00147CCC" w:rsidRPr="00FE4804">
        <w:t xml:space="preserve"> </w:t>
      </w:r>
      <w:r w:rsidR="00147CCC" w:rsidRPr="00FE4804">
        <w:tab/>
      </w:r>
      <w:r w:rsidR="00FE4804" w:rsidRPr="00FE4804">
        <w:t>6</w:t>
      </w:r>
    </w:p>
    <w:p w14:paraId="5DF011FA" w14:textId="77777777" w:rsidR="00147CCC" w:rsidRPr="00FE4804" w:rsidRDefault="0020767D" w:rsidP="00147CCC">
      <w:pPr>
        <w:pStyle w:val="Sommario2"/>
        <w:tabs>
          <w:tab w:val="right" w:leader="dot" w:pos="10489"/>
        </w:tabs>
        <w:ind w:left="216"/>
      </w:pPr>
      <w:r w:rsidRPr="00FE4804">
        <w:rPr>
          <w:rFonts w:ascii="Titillium Up" w:hAnsi="Titillium Up"/>
          <w:sz w:val="24"/>
          <w:szCs w:val="24"/>
        </w:rPr>
        <w:t>2</w:t>
      </w:r>
      <w:r w:rsidR="00147CCC" w:rsidRPr="00FE4804">
        <w:rPr>
          <w:rFonts w:ascii="Titillium Up" w:hAnsi="Titillium Up"/>
          <w:sz w:val="24"/>
          <w:szCs w:val="24"/>
        </w:rPr>
        <w:t>.2 Delimitazione dell’assicurazione – Esclusioni</w:t>
      </w:r>
      <w:r w:rsidR="00147CCC" w:rsidRPr="00FE4804">
        <w:tab/>
      </w:r>
      <w:r w:rsidR="00FE4804" w:rsidRPr="00FE4804">
        <w:t>6</w:t>
      </w:r>
    </w:p>
    <w:p w14:paraId="5DEE7E2F" w14:textId="77777777" w:rsidR="00147CCC" w:rsidRPr="00FE4804" w:rsidRDefault="0020767D" w:rsidP="00147CCC">
      <w:pPr>
        <w:pStyle w:val="Sommario2"/>
        <w:tabs>
          <w:tab w:val="right" w:leader="dot" w:pos="10489"/>
        </w:tabs>
        <w:ind w:left="216"/>
      </w:pPr>
      <w:r w:rsidRPr="00FE4804">
        <w:rPr>
          <w:rFonts w:ascii="Titillium Up" w:hAnsi="Titillium Up"/>
          <w:sz w:val="24"/>
          <w:szCs w:val="24"/>
        </w:rPr>
        <w:t>2</w:t>
      </w:r>
      <w:r w:rsidR="00147CCC" w:rsidRPr="00FE4804">
        <w:rPr>
          <w:rFonts w:ascii="Titillium Up" w:hAnsi="Titillium Up"/>
          <w:sz w:val="24"/>
          <w:szCs w:val="24"/>
        </w:rPr>
        <w:t>.3 Spese legali</w:t>
      </w:r>
      <w:r w:rsidR="00147CCC" w:rsidRPr="00FE4804">
        <w:tab/>
      </w:r>
      <w:r w:rsidR="00FE4804" w:rsidRPr="00FE4804">
        <w:t>7</w:t>
      </w:r>
    </w:p>
    <w:p w14:paraId="216BAD2A" w14:textId="77777777" w:rsidR="00147CCC" w:rsidRPr="00FE4804" w:rsidRDefault="0020767D" w:rsidP="00147CCC">
      <w:pPr>
        <w:pStyle w:val="Sommario2"/>
        <w:tabs>
          <w:tab w:val="right" w:leader="dot" w:pos="10489"/>
        </w:tabs>
        <w:ind w:left="216"/>
      </w:pPr>
      <w:r w:rsidRPr="00FE4804">
        <w:rPr>
          <w:rFonts w:ascii="Titillium Up" w:hAnsi="Titillium Up"/>
          <w:sz w:val="24"/>
          <w:szCs w:val="24"/>
        </w:rPr>
        <w:t>2</w:t>
      </w:r>
      <w:r w:rsidR="00147CCC" w:rsidRPr="00FE4804">
        <w:rPr>
          <w:rFonts w:ascii="Titillium Up" w:hAnsi="Titillium Up"/>
          <w:sz w:val="24"/>
          <w:szCs w:val="24"/>
        </w:rPr>
        <w:t>.4 Estensione Territoriale .</w:t>
      </w:r>
      <w:r w:rsidR="00147CCC" w:rsidRPr="00FE4804">
        <w:tab/>
      </w:r>
      <w:r w:rsidR="00FE4804" w:rsidRPr="00FE4804">
        <w:t>7</w:t>
      </w:r>
    </w:p>
    <w:p w14:paraId="3ADEE0CD" w14:textId="77777777" w:rsidR="00147CCC" w:rsidRPr="00FE4804" w:rsidRDefault="0020767D" w:rsidP="00147CCC">
      <w:pPr>
        <w:pStyle w:val="Sommario2"/>
        <w:tabs>
          <w:tab w:val="right" w:leader="dot" w:pos="10489"/>
        </w:tabs>
        <w:ind w:left="216"/>
      </w:pPr>
      <w:r w:rsidRPr="00FE4804">
        <w:rPr>
          <w:rFonts w:ascii="Titillium Up" w:hAnsi="Titillium Up"/>
          <w:sz w:val="24"/>
          <w:szCs w:val="24"/>
        </w:rPr>
        <w:t>2</w:t>
      </w:r>
      <w:r w:rsidR="00147CCC" w:rsidRPr="00FE4804">
        <w:rPr>
          <w:rFonts w:ascii="Titillium Up" w:hAnsi="Titillium Up"/>
          <w:sz w:val="24"/>
          <w:szCs w:val="24"/>
        </w:rPr>
        <w:t>.5 Validità della Garanzia</w:t>
      </w:r>
      <w:r w:rsidR="00147CCC" w:rsidRPr="00FE4804">
        <w:tab/>
      </w:r>
      <w:r w:rsidR="00FE4804" w:rsidRPr="00FE4804">
        <w:t>7</w:t>
      </w:r>
    </w:p>
    <w:p w14:paraId="1362E953" w14:textId="77777777" w:rsidR="00147CCC" w:rsidRPr="00FE4804" w:rsidRDefault="0020767D" w:rsidP="00147CCC">
      <w:pPr>
        <w:pStyle w:val="Sommario2"/>
        <w:tabs>
          <w:tab w:val="right" w:leader="dot" w:pos="10489"/>
        </w:tabs>
        <w:ind w:left="216"/>
      </w:pPr>
      <w:r w:rsidRPr="00FE4804">
        <w:rPr>
          <w:rFonts w:ascii="Titillium Up" w:hAnsi="Titillium Up"/>
          <w:sz w:val="24"/>
          <w:szCs w:val="24"/>
        </w:rPr>
        <w:t>2</w:t>
      </w:r>
      <w:r w:rsidR="00147CCC" w:rsidRPr="00FE4804">
        <w:rPr>
          <w:rFonts w:ascii="Titillium Up" w:hAnsi="Titillium Up"/>
          <w:sz w:val="24"/>
          <w:szCs w:val="24"/>
        </w:rPr>
        <w:t>.6 Obblighi dell’assicurato in caso di sinistro</w:t>
      </w:r>
      <w:r w:rsidR="00147CCC" w:rsidRPr="00FE4804">
        <w:tab/>
      </w:r>
      <w:r w:rsidR="00FE4804" w:rsidRPr="00FE4804">
        <w:t>7</w:t>
      </w:r>
    </w:p>
    <w:p w14:paraId="549DC841" w14:textId="77777777" w:rsidR="00147CCC" w:rsidRPr="00FE4804" w:rsidRDefault="00147CCC" w:rsidP="00373CAA">
      <w:pPr>
        <w:pStyle w:val="Sommario1"/>
      </w:pPr>
    </w:p>
    <w:p w14:paraId="44183ACF" w14:textId="77777777" w:rsidR="00147CCC" w:rsidRPr="00FE4804" w:rsidRDefault="0020767D" w:rsidP="00373CAA">
      <w:pPr>
        <w:pStyle w:val="Sommario1"/>
      </w:pPr>
      <w:r w:rsidRPr="00FE4804">
        <w:t>3</w:t>
      </w:r>
      <w:r w:rsidR="00147CCC" w:rsidRPr="00FE4804">
        <w:t>. RC FAMIGLIA</w:t>
      </w:r>
      <w:r w:rsidR="00147CCC" w:rsidRPr="00FE4804">
        <w:tab/>
      </w:r>
      <w:r w:rsidR="00FE4804" w:rsidRPr="00FE4804">
        <w:t>8</w:t>
      </w:r>
    </w:p>
    <w:p w14:paraId="7094DED4" w14:textId="77777777" w:rsidR="00147CCC" w:rsidRPr="00FE4804" w:rsidRDefault="0020767D" w:rsidP="00147CCC">
      <w:pPr>
        <w:pStyle w:val="Sommario2"/>
        <w:tabs>
          <w:tab w:val="right" w:leader="dot" w:pos="10489"/>
        </w:tabs>
        <w:ind w:left="216"/>
      </w:pPr>
      <w:r w:rsidRPr="00FE4804">
        <w:rPr>
          <w:rFonts w:ascii="Titillium Up" w:hAnsi="Titillium Up"/>
          <w:sz w:val="24"/>
          <w:szCs w:val="24"/>
        </w:rPr>
        <w:t>3</w:t>
      </w:r>
      <w:r w:rsidR="00147CCC" w:rsidRPr="00FE4804">
        <w:rPr>
          <w:rFonts w:ascii="Titillium Up" w:hAnsi="Titillium Up"/>
          <w:sz w:val="24"/>
          <w:szCs w:val="24"/>
        </w:rPr>
        <w:t>.1 Oggetto dell’assicurazione</w:t>
      </w:r>
      <w:r w:rsidR="00147CCC" w:rsidRPr="00FE4804">
        <w:t xml:space="preserve"> </w:t>
      </w:r>
      <w:r w:rsidR="00147CCC" w:rsidRPr="00FE4804">
        <w:tab/>
      </w:r>
      <w:r w:rsidR="00FE4804" w:rsidRPr="00FE4804">
        <w:t>8</w:t>
      </w:r>
    </w:p>
    <w:p w14:paraId="1A355DBC" w14:textId="77777777" w:rsidR="00147CCC" w:rsidRPr="00FE4804" w:rsidRDefault="0020767D" w:rsidP="00147CCC">
      <w:pPr>
        <w:pStyle w:val="Sommario2"/>
        <w:tabs>
          <w:tab w:val="right" w:leader="dot" w:pos="10489"/>
        </w:tabs>
        <w:ind w:left="216"/>
      </w:pPr>
      <w:r w:rsidRPr="00FE4804">
        <w:rPr>
          <w:rFonts w:ascii="Titillium Up" w:hAnsi="Titillium Up"/>
          <w:sz w:val="24"/>
          <w:szCs w:val="24"/>
        </w:rPr>
        <w:t>3</w:t>
      </w:r>
      <w:r w:rsidR="00147CCC" w:rsidRPr="00FE4804">
        <w:rPr>
          <w:rFonts w:ascii="Titillium Up" w:hAnsi="Titillium Up"/>
          <w:sz w:val="24"/>
          <w:szCs w:val="24"/>
        </w:rPr>
        <w:t>.2 Massimale</w:t>
      </w:r>
      <w:r w:rsidR="00147CCC" w:rsidRPr="00FE4804">
        <w:tab/>
      </w:r>
      <w:r w:rsidR="00FE4804" w:rsidRPr="00FE4804">
        <w:t>8</w:t>
      </w:r>
    </w:p>
    <w:p w14:paraId="0C59AC5F" w14:textId="77777777" w:rsidR="00147CCC" w:rsidRPr="00FE4804" w:rsidRDefault="0020767D" w:rsidP="00147CCC">
      <w:pPr>
        <w:pStyle w:val="Sommario2"/>
        <w:tabs>
          <w:tab w:val="right" w:leader="dot" w:pos="10489"/>
        </w:tabs>
        <w:ind w:left="216"/>
      </w:pPr>
      <w:r w:rsidRPr="00FE4804">
        <w:rPr>
          <w:rFonts w:ascii="Titillium Up" w:hAnsi="Titillium Up"/>
          <w:sz w:val="24"/>
          <w:szCs w:val="24"/>
        </w:rPr>
        <w:t>3</w:t>
      </w:r>
      <w:r w:rsidR="00147CCC" w:rsidRPr="00FE4804">
        <w:rPr>
          <w:rFonts w:ascii="Titillium Up" w:hAnsi="Titillium Up"/>
          <w:sz w:val="24"/>
          <w:szCs w:val="24"/>
        </w:rPr>
        <w:t>.3 Delimitazioni</w:t>
      </w:r>
      <w:r w:rsidR="00147CCC" w:rsidRPr="00FE4804">
        <w:tab/>
      </w:r>
      <w:r w:rsidR="00FE4804" w:rsidRPr="00FE4804">
        <w:t>9</w:t>
      </w:r>
    </w:p>
    <w:p w14:paraId="67367F64" w14:textId="77777777" w:rsidR="00147CCC" w:rsidRPr="00FE4804" w:rsidRDefault="0020767D" w:rsidP="00147CCC">
      <w:pPr>
        <w:pStyle w:val="Sommario2"/>
        <w:tabs>
          <w:tab w:val="right" w:leader="dot" w:pos="10489"/>
        </w:tabs>
        <w:ind w:left="216"/>
      </w:pPr>
      <w:r w:rsidRPr="00FE4804">
        <w:rPr>
          <w:rFonts w:ascii="Titillium Up" w:hAnsi="Titillium Up"/>
          <w:sz w:val="24"/>
          <w:szCs w:val="24"/>
        </w:rPr>
        <w:t>3</w:t>
      </w:r>
      <w:r w:rsidR="00147CCC" w:rsidRPr="00FE4804">
        <w:rPr>
          <w:rFonts w:ascii="Titillium Up" w:hAnsi="Titillium Up"/>
          <w:sz w:val="24"/>
          <w:szCs w:val="24"/>
        </w:rPr>
        <w:t>.4 Esclusioni.</w:t>
      </w:r>
      <w:r w:rsidR="00147CCC" w:rsidRPr="00FE4804">
        <w:tab/>
      </w:r>
      <w:r w:rsidR="00FE4804" w:rsidRPr="00FE4804">
        <w:t>9</w:t>
      </w:r>
    </w:p>
    <w:p w14:paraId="30C21916" w14:textId="77777777" w:rsidR="00147CCC" w:rsidRPr="00FE4804" w:rsidRDefault="0020767D" w:rsidP="00147CCC">
      <w:pPr>
        <w:pStyle w:val="Sommario2"/>
        <w:tabs>
          <w:tab w:val="right" w:leader="dot" w:pos="10489"/>
        </w:tabs>
        <w:ind w:left="216"/>
      </w:pPr>
      <w:r w:rsidRPr="00FE4804">
        <w:rPr>
          <w:rFonts w:ascii="Titillium Up" w:hAnsi="Titillium Up"/>
          <w:sz w:val="24"/>
          <w:szCs w:val="24"/>
        </w:rPr>
        <w:t>3</w:t>
      </w:r>
      <w:r w:rsidR="00147CCC" w:rsidRPr="00FE4804">
        <w:rPr>
          <w:rFonts w:ascii="Titillium Up" w:hAnsi="Titillium Up"/>
          <w:sz w:val="24"/>
          <w:szCs w:val="24"/>
        </w:rPr>
        <w:t>.5 Validità della garanzia ed estensione territoriale</w:t>
      </w:r>
      <w:r w:rsidR="00147CCC" w:rsidRPr="00FE4804">
        <w:tab/>
      </w:r>
      <w:r w:rsidR="00FE4804" w:rsidRPr="00FE4804">
        <w:t>9</w:t>
      </w:r>
    </w:p>
    <w:p w14:paraId="21494134" w14:textId="77777777" w:rsidR="00147CCC" w:rsidRPr="00FE4804" w:rsidRDefault="0020767D" w:rsidP="00147CCC">
      <w:pPr>
        <w:pStyle w:val="Sommario2"/>
        <w:tabs>
          <w:tab w:val="right" w:leader="dot" w:pos="10489"/>
        </w:tabs>
        <w:ind w:left="216"/>
      </w:pPr>
      <w:r w:rsidRPr="00FE4804">
        <w:rPr>
          <w:rFonts w:ascii="Titillium Up" w:hAnsi="Titillium Up"/>
          <w:sz w:val="24"/>
          <w:szCs w:val="24"/>
        </w:rPr>
        <w:t>3</w:t>
      </w:r>
      <w:r w:rsidR="00147CCC" w:rsidRPr="00FE4804">
        <w:rPr>
          <w:rFonts w:ascii="Titillium Up" w:hAnsi="Titillium Up"/>
          <w:sz w:val="24"/>
          <w:szCs w:val="24"/>
        </w:rPr>
        <w:t>.6 Spese Legali</w:t>
      </w:r>
      <w:r w:rsidR="00147CCC" w:rsidRPr="00FE4804">
        <w:tab/>
      </w:r>
      <w:r w:rsidR="00FE4804" w:rsidRPr="00FE4804">
        <w:t>9</w:t>
      </w:r>
    </w:p>
    <w:p w14:paraId="12572410" w14:textId="77777777" w:rsidR="00147CCC" w:rsidRPr="00FE4804" w:rsidRDefault="0020767D" w:rsidP="00147CCC">
      <w:pPr>
        <w:pStyle w:val="Sommario2"/>
        <w:tabs>
          <w:tab w:val="right" w:leader="dot" w:pos="10489"/>
        </w:tabs>
        <w:ind w:left="216"/>
      </w:pPr>
      <w:r w:rsidRPr="00FE4804">
        <w:rPr>
          <w:rFonts w:ascii="Titillium Up" w:hAnsi="Titillium Up"/>
          <w:sz w:val="24"/>
          <w:szCs w:val="24"/>
        </w:rPr>
        <w:t>3</w:t>
      </w:r>
      <w:r w:rsidR="00147CCC" w:rsidRPr="00FE4804">
        <w:rPr>
          <w:rFonts w:ascii="Titillium Up" w:hAnsi="Titillium Up"/>
          <w:sz w:val="24"/>
          <w:szCs w:val="24"/>
        </w:rPr>
        <w:t>.7 Obblighi dell’assicurato in caso di sinistro</w:t>
      </w:r>
      <w:r w:rsidR="00147CCC" w:rsidRPr="00FE4804">
        <w:tab/>
      </w:r>
      <w:r w:rsidR="00FE4804" w:rsidRPr="00FE4804">
        <w:t>9</w:t>
      </w:r>
    </w:p>
    <w:p w14:paraId="340F27D2" w14:textId="77777777" w:rsidR="004E04C6" w:rsidRPr="00FE4804" w:rsidRDefault="004E04C6" w:rsidP="00373CAA">
      <w:pPr>
        <w:pStyle w:val="Sommario1"/>
      </w:pPr>
    </w:p>
    <w:p w14:paraId="44776AFF" w14:textId="77777777" w:rsidR="004E04C6" w:rsidRPr="00FE4804" w:rsidRDefault="0020767D" w:rsidP="00373CAA">
      <w:pPr>
        <w:pStyle w:val="Sommario1"/>
      </w:pPr>
      <w:r w:rsidRPr="00FE4804">
        <w:t>4</w:t>
      </w:r>
      <w:r w:rsidR="004E04C6" w:rsidRPr="00FE4804">
        <w:t>. CONDIZIONI GENERALI DEL CONTRATTO</w:t>
      </w:r>
      <w:r w:rsidR="004E04C6" w:rsidRPr="00FE4804">
        <w:tab/>
      </w:r>
      <w:r w:rsidR="00445E85" w:rsidRPr="00FE4804">
        <w:t>1</w:t>
      </w:r>
      <w:r w:rsidR="00FE4804" w:rsidRPr="00FE4804">
        <w:t>0</w:t>
      </w:r>
    </w:p>
    <w:p w14:paraId="34508BF5" w14:textId="77777777" w:rsidR="00722E4D" w:rsidRPr="00FE4804" w:rsidRDefault="0020767D" w:rsidP="00722E4D">
      <w:pPr>
        <w:pStyle w:val="Sommario2"/>
        <w:tabs>
          <w:tab w:val="right" w:leader="dot" w:pos="10489"/>
        </w:tabs>
        <w:ind w:left="216"/>
      </w:pPr>
      <w:r w:rsidRPr="00FE4804">
        <w:rPr>
          <w:rFonts w:ascii="Titillium Up" w:hAnsi="Titillium Up"/>
          <w:sz w:val="24"/>
          <w:szCs w:val="24"/>
        </w:rPr>
        <w:t>4</w:t>
      </w:r>
      <w:r w:rsidR="00722E4D" w:rsidRPr="00FE4804">
        <w:rPr>
          <w:rFonts w:ascii="Titillium Up" w:hAnsi="Titillium Up"/>
          <w:sz w:val="24"/>
          <w:szCs w:val="24"/>
        </w:rPr>
        <w:t>.1 Dichiarazioni relative alle circostanze del rischio - Buona fede</w:t>
      </w:r>
      <w:r w:rsidR="00722E4D" w:rsidRPr="00FE4804">
        <w:tab/>
      </w:r>
      <w:r w:rsidR="00445E85" w:rsidRPr="00FE4804">
        <w:t>1</w:t>
      </w:r>
      <w:r w:rsidR="00FE4804" w:rsidRPr="00FE4804">
        <w:t>0</w:t>
      </w:r>
    </w:p>
    <w:p w14:paraId="11160F3F" w14:textId="77777777" w:rsidR="00722E4D" w:rsidRPr="00FE4804" w:rsidRDefault="0020767D" w:rsidP="00722E4D">
      <w:pPr>
        <w:pStyle w:val="Sommario2"/>
        <w:tabs>
          <w:tab w:val="right" w:leader="dot" w:pos="10489"/>
        </w:tabs>
        <w:ind w:left="216"/>
      </w:pPr>
      <w:r w:rsidRPr="00FE4804">
        <w:rPr>
          <w:rFonts w:ascii="Titillium Up" w:hAnsi="Titillium Up"/>
          <w:sz w:val="24"/>
          <w:szCs w:val="24"/>
        </w:rPr>
        <w:t>4</w:t>
      </w:r>
      <w:r w:rsidR="00722E4D" w:rsidRPr="00FE4804">
        <w:rPr>
          <w:rFonts w:ascii="Titillium Up" w:hAnsi="Titillium Up"/>
          <w:sz w:val="24"/>
          <w:szCs w:val="24"/>
        </w:rPr>
        <w:t>.2 Altre assicurazioni</w:t>
      </w:r>
      <w:r w:rsidR="00722E4D" w:rsidRPr="00FE4804">
        <w:tab/>
      </w:r>
      <w:r w:rsidR="00445E85" w:rsidRPr="00FE4804">
        <w:t>1</w:t>
      </w:r>
      <w:r w:rsidR="00FE4804" w:rsidRPr="00FE4804">
        <w:t>0</w:t>
      </w:r>
    </w:p>
    <w:p w14:paraId="1653A42E" w14:textId="77777777" w:rsidR="00722E4D" w:rsidRPr="00FE4804" w:rsidRDefault="0020767D" w:rsidP="00722E4D">
      <w:pPr>
        <w:pStyle w:val="Sommario2"/>
        <w:tabs>
          <w:tab w:val="right" w:leader="dot" w:pos="10489"/>
        </w:tabs>
        <w:ind w:left="216"/>
      </w:pPr>
      <w:r w:rsidRPr="00FE4804">
        <w:rPr>
          <w:rFonts w:ascii="Titillium Up" w:hAnsi="Titillium Up"/>
          <w:sz w:val="24"/>
          <w:szCs w:val="24"/>
        </w:rPr>
        <w:t>4</w:t>
      </w:r>
      <w:r w:rsidR="00722E4D" w:rsidRPr="00FE4804">
        <w:rPr>
          <w:rFonts w:ascii="Titillium Up" w:hAnsi="Titillium Up"/>
          <w:sz w:val="24"/>
          <w:szCs w:val="24"/>
        </w:rPr>
        <w:t>.3 Decorrenza dell'assicurazione - Pagamento del premio</w:t>
      </w:r>
      <w:r w:rsidR="00722E4D" w:rsidRPr="00FE4804">
        <w:tab/>
      </w:r>
      <w:r w:rsidR="00445E85" w:rsidRPr="00FE4804">
        <w:t>1</w:t>
      </w:r>
      <w:r w:rsidR="00FE4804" w:rsidRPr="00FE4804">
        <w:t>0</w:t>
      </w:r>
    </w:p>
    <w:p w14:paraId="21CE2658" w14:textId="77777777" w:rsidR="00722E4D" w:rsidRPr="00FE4804" w:rsidRDefault="0020767D" w:rsidP="00722E4D">
      <w:pPr>
        <w:pStyle w:val="Sommario2"/>
        <w:tabs>
          <w:tab w:val="right" w:leader="dot" w:pos="10489"/>
        </w:tabs>
        <w:ind w:left="216"/>
      </w:pPr>
      <w:r w:rsidRPr="00FE4804">
        <w:rPr>
          <w:rFonts w:ascii="Titillium Up" w:hAnsi="Titillium Up"/>
          <w:sz w:val="24"/>
          <w:szCs w:val="24"/>
        </w:rPr>
        <w:t>4</w:t>
      </w:r>
      <w:r w:rsidR="00722E4D" w:rsidRPr="00FE4804">
        <w:rPr>
          <w:rFonts w:ascii="Titillium Up" w:hAnsi="Titillium Up"/>
          <w:sz w:val="24"/>
          <w:szCs w:val="24"/>
        </w:rPr>
        <w:t xml:space="preserve">.4 </w:t>
      </w:r>
      <w:r w:rsidRPr="00FE4804">
        <w:rPr>
          <w:rFonts w:ascii="Titillium Up" w:hAnsi="Titillium Up"/>
          <w:sz w:val="24"/>
          <w:szCs w:val="24"/>
        </w:rPr>
        <w:t>Modalità di adesione e decorrenza delle Garanzie</w:t>
      </w:r>
      <w:r w:rsidR="00722E4D" w:rsidRPr="00FE4804">
        <w:tab/>
      </w:r>
      <w:r w:rsidR="00445E85" w:rsidRPr="00FE4804">
        <w:t>1</w:t>
      </w:r>
      <w:r w:rsidR="00FE4804" w:rsidRPr="00FE4804">
        <w:t>0</w:t>
      </w:r>
    </w:p>
    <w:p w14:paraId="7CA1C932" w14:textId="77777777" w:rsidR="00722E4D" w:rsidRPr="00FE4804" w:rsidRDefault="0020767D" w:rsidP="00722E4D">
      <w:pPr>
        <w:pStyle w:val="Sommario2"/>
        <w:tabs>
          <w:tab w:val="right" w:leader="dot" w:pos="10489"/>
        </w:tabs>
        <w:ind w:left="216"/>
      </w:pPr>
      <w:r w:rsidRPr="00FE4804">
        <w:rPr>
          <w:rFonts w:ascii="Titillium Up" w:hAnsi="Titillium Up"/>
          <w:sz w:val="24"/>
          <w:szCs w:val="24"/>
        </w:rPr>
        <w:t>4</w:t>
      </w:r>
      <w:r w:rsidR="00722E4D" w:rsidRPr="00FE4804">
        <w:rPr>
          <w:rFonts w:ascii="Titillium Up" w:hAnsi="Titillium Up"/>
          <w:sz w:val="24"/>
          <w:szCs w:val="24"/>
        </w:rPr>
        <w:t xml:space="preserve">.5 </w:t>
      </w:r>
      <w:r w:rsidRPr="00FE4804">
        <w:rPr>
          <w:rFonts w:ascii="Titillium Up" w:hAnsi="Titillium Up"/>
          <w:sz w:val="24"/>
          <w:szCs w:val="24"/>
        </w:rPr>
        <w:t>Variazioni del rischio</w:t>
      </w:r>
      <w:r w:rsidR="00722E4D" w:rsidRPr="00FE4804">
        <w:rPr>
          <w:rFonts w:ascii="Titillium Up" w:hAnsi="Titillium Up"/>
          <w:sz w:val="24"/>
          <w:szCs w:val="24"/>
        </w:rPr>
        <w:t xml:space="preserve"> </w:t>
      </w:r>
      <w:r w:rsidR="00722E4D" w:rsidRPr="00FE4804">
        <w:tab/>
      </w:r>
      <w:r w:rsidR="00445E85" w:rsidRPr="00FE4804">
        <w:t>1</w:t>
      </w:r>
      <w:r w:rsidR="00FE4804" w:rsidRPr="00FE4804">
        <w:t>0</w:t>
      </w:r>
    </w:p>
    <w:p w14:paraId="65B06B16" w14:textId="77777777" w:rsidR="0020767D" w:rsidRPr="00FE4804" w:rsidRDefault="0020767D" w:rsidP="0020767D">
      <w:pPr>
        <w:pStyle w:val="Sommario2"/>
        <w:tabs>
          <w:tab w:val="right" w:leader="dot" w:pos="10489"/>
        </w:tabs>
        <w:ind w:left="216"/>
      </w:pPr>
      <w:r w:rsidRPr="00FE4804">
        <w:rPr>
          <w:rFonts w:ascii="Titillium Up" w:hAnsi="Titillium Up"/>
          <w:sz w:val="24"/>
          <w:szCs w:val="24"/>
        </w:rPr>
        <w:t>4.6 Durata dell’assicurazione</w:t>
      </w:r>
      <w:r w:rsidRPr="00FE4804">
        <w:tab/>
        <w:t>1</w:t>
      </w:r>
      <w:r w:rsidR="00FE4804" w:rsidRPr="00FE4804">
        <w:t>1</w:t>
      </w:r>
    </w:p>
    <w:p w14:paraId="3C0928CC" w14:textId="77777777" w:rsidR="00722E4D" w:rsidRPr="00FE4804" w:rsidRDefault="0020767D" w:rsidP="00722E4D">
      <w:pPr>
        <w:pStyle w:val="Sommario2"/>
        <w:tabs>
          <w:tab w:val="right" w:leader="dot" w:pos="10489"/>
        </w:tabs>
        <w:ind w:left="216"/>
      </w:pPr>
      <w:r w:rsidRPr="00FE4804">
        <w:rPr>
          <w:rFonts w:ascii="Titillium Up" w:hAnsi="Titillium Up"/>
          <w:sz w:val="24"/>
          <w:szCs w:val="24"/>
        </w:rPr>
        <w:t>4</w:t>
      </w:r>
      <w:r w:rsidR="00722E4D" w:rsidRPr="00FE4804">
        <w:rPr>
          <w:rFonts w:ascii="Titillium Up" w:hAnsi="Titillium Up"/>
          <w:sz w:val="24"/>
          <w:szCs w:val="24"/>
        </w:rPr>
        <w:t>.</w:t>
      </w:r>
      <w:r w:rsidRPr="00FE4804">
        <w:rPr>
          <w:rFonts w:ascii="Titillium Up" w:hAnsi="Titillium Up"/>
          <w:sz w:val="24"/>
          <w:szCs w:val="24"/>
        </w:rPr>
        <w:t>7</w:t>
      </w:r>
      <w:r w:rsidR="00722E4D" w:rsidRPr="00FE4804">
        <w:rPr>
          <w:rFonts w:ascii="Titillium Up" w:hAnsi="Titillium Up"/>
          <w:sz w:val="24"/>
          <w:szCs w:val="24"/>
        </w:rPr>
        <w:t xml:space="preserve"> Oneri fiscali</w:t>
      </w:r>
      <w:r w:rsidR="00722E4D" w:rsidRPr="00FE4804">
        <w:tab/>
      </w:r>
      <w:r w:rsidR="00445E85" w:rsidRPr="00FE4804">
        <w:t>1</w:t>
      </w:r>
      <w:r w:rsidR="00FE4804" w:rsidRPr="00FE4804">
        <w:t>1</w:t>
      </w:r>
    </w:p>
    <w:p w14:paraId="466EF2F9" w14:textId="77777777" w:rsidR="00722E4D" w:rsidRPr="00FE4804" w:rsidRDefault="0020767D" w:rsidP="00722E4D">
      <w:pPr>
        <w:pStyle w:val="Sommario2"/>
        <w:tabs>
          <w:tab w:val="right" w:leader="dot" w:pos="10489"/>
        </w:tabs>
        <w:ind w:left="216"/>
      </w:pPr>
      <w:r w:rsidRPr="00FE4804">
        <w:rPr>
          <w:rFonts w:ascii="Titillium Up" w:hAnsi="Titillium Up"/>
          <w:sz w:val="24"/>
          <w:szCs w:val="24"/>
        </w:rPr>
        <w:t>4</w:t>
      </w:r>
      <w:r w:rsidR="00722E4D" w:rsidRPr="00FE4804">
        <w:rPr>
          <w:rFonts w:ascii="Titillium Up" w:hAnsi="Titillium Up"/>
          <w:sz w:val="24"/>
          <w:szCs w:val="24"/>
        </w:rPr>
        <w:t>.</w:t>
      </w:r>
      <w:r w:rsidRPr="00FE4804">
        <w:rPr>
          <w:rFonts w:ascii="Titillium Up" w:hAnsi="Titillium Up"/>
          <w:sz w:val="24"/>
          <w:szCs w:val="24"/>
        </w:rPr>
        <w:t>8</w:t>
      </w:r>
      <w:r w:rsidR="00722E4D" w:rsidRPr="00FE4804">
        <w:rPr>
          <w:rFonts w:ascii="Titillium Up" w:hAnsi="Titillium Up"/>
          <w:sz w:val="24"/>
          <w:szCs w:val="24"/>
        </w:rPr>
        <w:t xml:space="preserve"> Modifiche dell'assicurazione</w:t>
      </w:r>
      <w:r w:rsidR="00722E4D" w:rsidRPr="00FE4804">
        <w:tab/>
      </w:r>
      <w:r w:rsidR="00445E85" w:rsidRPr="00FE4804">
        <w:t>1</w:t>
      </w:r>
      <w:r w:rsidR="00FE4804" w:rsidRPr="00FE4804">
        <w:t>1</w:t>
      </w:r>
    </w:p>
    <w:p w14:paraId="296C24A2" w14:textId="77777777" w:rsidR="00722E4D" w:rsidRPr="00FE4804" w:rsidRDefault="0020767D" w:rsidP="00722E4D">
      <w:pPr>
        <w:pStyle w:val="Sommario2"/>
        <w:tabs>
          <w:tab w:val="right" w:leader="dot" w:pos="10489"/>
        </w:tabs>
        <w:ind w:left="216"/>
      </w:pPr>
      <w:r w:rsidRPr="00FE4804">
        <w:rPr>
          <w:rFonts w:ascii="Titillium Up" w:hAnsi="Titillium Up"/>
          <w:sz w:val="24"/>
          <w:szCs w:val="24"/>
        </w:rPr>
        <w:t>4</w:t>
      </w:r>
      <w:r w:rsidR="00722E4D" w:rsidRPr="00FE4804">
        <w:rPr>
          <w:rFonts w:ascii="Titillium Up" w:hAnsi="Titillium Up"/>
          <w:sz w:val="24"/>
          <w:szCs w:val="24"/>
        </w:rPr>
        <w:t>.</w:t>
      </w:r>
      <w:r w:rsidRPr="00FE4804">
        <w:rPr>
          <w:rFonts w:ascii="Titillium Up" w:hAnsi="Titillium Up"/>
          <w:sz w:val="24"/>
          <w:szCs w:val="24"/>
        </w:rPr>
        <w:t>9</w:t>
      </w:r>
      <w:r w:rsidR="00722E4D" w:rsidRPr="00FE4804">
        <w:rPr>
          <w:rFonts w:ascii="Titillium Up" w:hAnsi="Titillium Up"/>
          <w:sz w:val="24"/>
          <w:szCs w:val="24"/>
        </w:rPr>
        <w:t xml:space="preserve"> Clausola Broker</w:t>
      </w:r>
      <w:r w:rsidR="00722E4D" w:rsidRPr="00FE4804">
        <w:tab/>
      </w:r>
      <w:r w:rsidR="00445E85" w:rsidRPr="00FE4804">
        <w:t>1</w:t>
      </w:r>
      <w:r w:rsidR="00FE4804" w:rsidRPr="00FE4804">
        <w:t>1</w:t>
      </w:r>
    </w:p>
    <w:p w14:paraId="34C61D17" w14:textId="77777777" w:rsidR="00722E4D" w:rsidRPr="00FE4804" w:rsidRDefault="0020767D" w:rsidP="00722E4D">
      <w:pPr>
        <w:pStyle w:val="Sommario2"/>
        <w:tabs>
          <w:tab w:val="right" w:leader="dot" w:pos="10489"/>
        </w:tabs>
        <w:ind w:left="216"/>
      </w:pPr>
      <w:r w:rsidRPr="00FE4804">
        <w:rPr>
          <w:rFonts w:ascii="Titillium Up" w:hAnsi="Titillium Up"/>
          <w:sz w:val="24"/>
          <w:szCs w:val="24"/>
        </w:rPr>
        <w:t>4</w:t>
      </w:r>
      <w:r w:rsidR="00722E4D" w:rsidRPr="00FE4804">
        <w:rPr>
          <w:rFonts w:ascii="Titillium Up" w:hAnsi="Titillium Up"/>
          <w:sz w:val="24"/>
          <w:szCs w:val="24"/>
        </w:rPr>
        <w:t>.</w:t>
      </w:r>
      <w:r w:rsidRPr="00FE4804">
        <w:rPr>
          <w:rFonts w:ascii="Titillium Up" w:hAnsi="Titillium Up"/>
          <w:sz w:val="24"/>
          <w:szCs w:val="24"/>
        </w:rPr>
        <w:t>10</w:t>
      </w:r>
      <w:r w:rsidR="00722E4D" w:rsidRPr="00FE4804">
        <w:rPr>
          <w:rFonts w:ascii="Titillium Up" w:hAnsi="Titillium Up"/>
          <w:sz w:val="24"/>
          <w:szCs w:val="24"/>
        </w:rPr>
        <w:t xml:space="preserve"> Premi lordi e massimali</w:t>
      </w:r>
      <w:r w:rsidR="00722E4D" w:rsidRPr="00FE4804">
        <w:tab/>
      </w:r>
      <w:r w:rsidR="00445E85" w:rsidRPr="00FE4804">
        <w:t>1</w:t>
      </w:r>
      <w:r w:rsidR="00FE4804" w:rsidRPr="00FE4804">
        <w:t>1</w:t>
      </w:r>
    </w:p>
    <w:p w14:paraId="2F56C4B6" w14:textId="77777777" w:rsidR="0020767D" w:rsidRPr="00FE4804" w:rsidRDefault="0020767D" w:rsidP="0020767D">
      <w:pPr>
        <w:pStyle w:val="Sommario2"/>
        <w:tabs>
          <w:tab w:val="right" w:leader="dot" w:pos="10489"/>
        </w:tabs>
        <w:ind w:left="216"/>
      </w:pPr>
      <w:r w:rsidRPr="00FE4804">
        <w:rPr>
          <w:rFonts w:ascii="Titillium Up" w:hAnsi="Titillium Up"/>
          <w:sz w:val="24"/>
          <w:szCs w:val="24"/>
        </w:rPr>
        <w:t>4.11 Regolazione Del Premio</w:t>
      </w:r>
      <w:r w:rsidRPr="00FE4804">
        <w:tab/>
      </w:r>
      <w:r w:rsidR="00FE4804" w:rsidRPr="00FE4804">
        <w:t>12</w:t>
      </w:r>
    </w:p>
    <w:p w14:paraId="2EC54D4A" w14:textId="77777777" w:rsidR="0020767D" w:rsidRPr="00FE4804" w:rsidRDefault="0020767D" w:rsidP="0020767D">
      <w:pPr>
        <w:pStyle w:val="Sommario2"/>
        <w:tabs>
          <w:tab w:val="right" w:leader="dot" w:pos="10489"/>
        </w:tabs>
        <w:ind w:left="216"/>
      </w:pPr>
      <w:r w:rsidRPr="00FE4804">
        <w:rPr>
          <w:rFonts w:ascii="Titillium Up" w:hAnsi="Titillium Up"/>
          <w:sz w:val="24"/>
          <w:szCs w:val="24"/>
        </w:rPr>
        <w:t>4.12 Rinvio alle norme di legge</w:t>
      </w:r>
      <w:r w:rsidRPr="00FE4804">
        <w:tab/>
        <w:t>1</w:t>
      </w:r>
      <w:r w:rsidR="00FE4804" w:rsidRPr="00FE4804">
        <w:t>2</w:t>
      </w:r>
    </w:p>
    <w:p w14:paraId="6232DB2F" w14:textId="77777777" w:rsidR="0020767D" w:rsidRPr="00FE4804" w:rsidRDefault="0020767D" w:rsidP="0020767D">
      <w:pPr>
        <w:pStyle w:val="Sommario2"/>
        <w:tabs>
          <w:tab w:val="right" w:leader="dot" w:pos="10489"/>
        </w:tabs>
        <w:ind w:left="216"/>
      </w:pPr>
      <w:r w:rsidRPr="00FE4804">
        <w:rPr>
          <w:rFonts w:ascii="Titillium Up" w:hAnsi="Titillium Up"/>
          <w:sz w:val="24"/>
          <w:szCs w:val="24"/>
        </w:rPr>
        <w:t>4.13 Interpretazione del contratto</w:t>
      </w:r>
      <w:r w:rsidRPr="00FE4804">
        <w:tab/>
        <w:t>1</w:t>
      </w:r>
      <w:r w:rsidR="00FE4804" w:rsidRPr="00FE4804">
        <w:t>2</w:t>
      </w:r>
    </w:p>
    <w:p w14:paraId="540F88F8" w14:textId="77777777" w:rsidR="0020767D" w:rsidRPr="00FE4804" w:rsidRDefault="0020767D" w:rsidP="0020767D">
      <w:pPr>
        <w:pStyle w:val="Sommario2"/>
        <w:tabs>
          <w:tab w:val="right" w:leader="dot" w:pos="10489"/>
        </w:tabs>
        <w:ind w:left="216"/>
      </w:pPr>
      <w:r w:rsidRPr="00FE4804">
        <w:rPr>
          <w:rFonts w:ascii="Titillium Up" w:hAnsi="Titillium Up"/>
          <w:sz w:val="24"/>
          <w:szCs w:val="24"/>
        </w:rPr>
        <w:t>4.14 Clausola Arbitrale</w:t>
      </w:r>
      <w:r w:rsidRPr="00FE4804">
        <w:tab/>
        <w:t>1</w:t>
      </w:r>
      <w:r w:rsidR="00FE4804" w:rsidRPr="00FE4804">
        <w:t>2</w:t>
      </w:r>
    </w:p>
    <w:p w14:paraId="73066556" w14:textId="77777777" w:rsidR="0020767D" w:rsidRPr="00FE4804" w:rsidRDefault="0020767D" w:rsidP="0020767D">
      <w:pPr>
        <w:pStyle w:val="Sommario2"/>
        <w:tabs>
          <w:tab w:val="right" w:leader="dot" w:pos="10489"/>
        </w:tabs>
        <w:ind w:left="216"/>
      </w:pPr>
      <w:r w:rsidRPr="00FE4804">
        <w:rPr>
          <w:rFonts w:ascii="Titillium Up" w:hAnsi="Titillium Up"/>
          <w:sz w:val="24"/>
          <w:szCs w:val="24"/>
        </w:rPr>
        <w:t>4.15 Esclusione Rischio Cyber</w:t>
      </w:r>
      <w:r w:rsidRPr="00FE4804">
        <w:tab/>
        <w:t>1</w:t>
      </w:r>
      <w:r w:rsidR="00FE4804" w:rsidRPr="00FE4804">
        <w:t>2</w:t>
      </w:r>
    </w:p>
    <w:p w14:paraId="576A8CE0" w14:textId="77777777" w:rsidR="0020767D" w:rsidRPr="00FE4804" w:rsidRDefault="0020767D" w:rsidP="0020767D">
      <w:pPr>
        <w:pStyle w:val="Sommario2"/>
        <w:tabs>
          <w:tab w:val="right" w:leader="dot" w:pos="10489"/>
        </w:tabs>
        <w:ind w:left="216"/>
      </w:pPr>
      <w:r w:rsidRPr="00FE4804">
        <w:rPr>
          <w:rFonts w:ascii="Titillium Up" w:hAnsi="Titillium Up"/>
          <w:sz w:val="24"/>
          <w:szCs w:val="24"/>
        </w:rPr>
        <w:t>4.16 Diritto Dell'assicurato Al Ripensamento</w:t>
      </w:r>
      <w:r w:rsidRPr="00FE4804">
        <w:tab/>
        <w:t>1</w:t>
      </w:r>
      <w:r w:rsidR="00FE4804" w:rsidRPr="00FE4804">
        <w:t>3</w:t>
      </w:r>
    </w:p>
    <w:p w14:paraId="2DAB584D" w14:textId="7A2E5D2B" w:rsidR="0020767D" w:rsidRDefault="0020767D" w:rsidP="00722E4D">
      <w:pPr>
        <w:pStyle w:val="Sommario2"/>
        <w:tabs>
          <w:tab w:val="right" w:leader="dot" w:pos="10489"/>
        </w:tabs>
        <w:ind w:left="216"/>
        <w:rPr>
          <w:rFonts w:ascii="Titillium Up" w:hAnsi="Titillium Up"/>
          <w:sz w:val="24"/>
          <w:szCs w:val="24"/>
        </w:rPr>
      </w:pPr>
    </w:p>
    <w:p w14:paraId="5FB931FB" w14:textId="5EBF51A8" w:rsidR="00207BC5" w:rsidRDefault="00207BC5" w:rsidP="00207BC5"/>
    <w:p w14:paraId="6CAC9450" w14:textId="33C2ABB0" w:rsidR="00207BC5" w:rsidRDefault="00207BC5" w:rsidP="00207BC5"/>
    <w:p w14:paraId="4E4144B2" w14:textId="77777777" w:rsidR="00207BC5" w:rsidRPr="00207BC5" w:rsidRDefault="00207BC5" w:rsidP="00207BC5"/>
    <w:p w14:paraId="21673D2B" w14:textId="77777777" w:rsidR="001E1576" w:rsidRPr="00FE4804" w:rsidRDefault="001E1576" w:rsidP="001E1576"/>
    <w:p w14:paraId="10A26122" w14:textId="77777777" w:rsidR="00F05BEF" w:rsidRPr="00F74040" w:rsidRDefault="00F05BEF" w:rsidP="00F05BEF">
      <w:pPr>
        <w:pStyle w:val="Paragrafoelenco"/>
        <w:widowControl w:val="0"/>
        <w:numPr>
          <w:ilvl w:val="0"/>
          <w:numId w:val="33"/>
        </w:numPr>
        <w:suppressAutoHyphens/>
        <w:autoSpaceDE w:val="0"/>
        <w:autoSpaceDN w:val="0"/>
        <w:adjustRightInd w:val="0"/>
        <w:spacing w:after="0" w:line="240" w:lineRule="auto"/>
        <w:ind w:left="426"/>
        <w:jc w:val="both"/>
        <w:textAlignment w:val="center"/>
        <w:rPr>
          <w:rFonts w:ascii="Titillium Up" w:eastAsia="Times New Roman" w:hAnsi="Titillium Up" w:cs="Arial"/>
          <w:b/>
          <w:color w:val="0070C0"/>
          <w:sz w:val="34"/>
          <w:szCs w:val="34"/>
          <w:u w:val="single"/>
          <w:lang w:eastAsia="it-IT"/>
        </w:rPr>
      </w:pPr>
      <w:r w:rsidRPr="00F74040">
        <w:rPr>
          <w:rFonts w:ascii="Titillium Up" w:eastAsia="Times New Roman" w:hAnsi="Titillium Up" w:cs="Arial"/>
          <w:b/>
          <w:color w:val="0070C0"/>
          <w:sz w:val="34"/>
          <w:szCs w:val="34"/>
          <w:u w:val="single"/>
          <w:lang w:eastAsia="it-IT"/>
        </w:rPr>
        <w:lastRenderedPageBreak/>
        <w:t>GLOSSARIO</w:t>
      </w:r>
    </w:p>
    <w:p w14:paraId="407505E8" w14:textId="77777777" w:rsidR="00F05BEF" w:rsidRPr="00F74040" w:rsidRDefault="00F05BEF" w:rsidP="00F05BEF">
      <w:pPr>
        <w:widowControl w:val="0"/>
        <w:suppressAutoHyphens/>
        <w:autoSpaceDE w:val="0"/>
        <w:autoSpaceDN w:val="0"/>
        <w:adjustRightInd w:val="0"/>
        <w:jc w:val="both"/>
        <w:textAlignment w:val="center"/>
        <w:rPr>
          <w:rFonts w:ascii="Titillium Up" w:hAnsi="Titillium Up" w:cs="Arial"/>
          <w:b/>
          <w:color w:val="0070C0"/>
          <w:sz w:val="34"/>
          <w:szCs w:val="34"/>
          <w:u w:val="single"/>
        </w:rPr>
      </w:pPr>
      <w:r w:rsidRPr="00F74040">
        <w:rPr>
          <w:rFonts w:ascii="Titillium Up" w:hAnsi="Titillium Up" w:cs="Arial"/>
          <w:b/>
          <w:color w:val="0070C0"/>
          <w:sz w:val="34"/>
          <w:szCs w:val="34"/>
          <w:u w:val="single"/>
        </w:rPr>
        <w:t xml:space="preserve">                                                                                                          </w:t>
      </w:r>
    </w:p>
    <w:p w14:paraId="647063BB"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sidRPr="00561674">
        <w:rPr>
          <w:rFonts w:ascii="Titillium Up" w:hAnsi="Titillium Up" w:cs="Arial"/>
          <w:color w:val="000000"/>
          <w:sz w:val="24"/>
          <w:szCs w:val="24"/>
        </w:rPr>
        <w:t>Nel testo che segue si intendono per:</w:t>
      </w:r>
    </w:p>
    <w:p w14:paraId="46AEDD97"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3D77CFD5"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sidRPr="00561674">
        <w:rPr>
          <w:rFonts w:ascii="Titillium Up" w:hAnsi="Titillium Up" w:cs="Arial"/>
          <w:b/>
          <w:bCs/>
          <w:color w:val="000000"/>
          <w:sz w:val="24"/>
          <w:szCs w:val="24"/>
        </w:rPr>
        <w:t>ADESIONE ALLA CONVENZIONE</w:t>
      </w:r>
    </w:p>
    <w:p w14:paraId="386D0063" w14:textId="77777777" w:rsidR="00F05BEF" w:rsidRPr="00561674" w:rsidRDefault="00F05BEF" w:rsidP="00F05BEF">
      <w:pPr>
        <w:widowControl w:val="0"/>
        <w:autoSpaceDE w:val="0"/>
        <w:autoSpaceDN w:val="0"/>
        <w:adjustRightInd w:val="0"/>
        <w:ind w:firstLine="1"/>
        <w:jc w:val="both"/>
        <w:textAlignment w:val="center"/>
        <w:rPr>
          <w:rFonts w:ascii="Titillium Up" w:hAnsi="Titillium Up" w:cs="Arial"/>
          <w:color w:val="000000"/>
          <w:sz w:val="24"/>
          <w:szCs w:val="24"/>
        </w:rPr>
      </w:pPr>
      <w:r>
        <w:rPr>
          <w:rFonts w:ascii="Titillium Up" w:hAnsi="Titillium Up" w:cs="Arial"/>
          <w:color w:val="000000"/>
          <w:sz w:val="24"/>
          <w:szCs w:val="24"/>
        </w:rPr>
        <w:t>L’</w:t>
      </w:r>
      <w:r w:rsidRPr="00561674">
        <w:rPr>
          <w:rFonts w:ascii="Titillium Up" w:hAnsi="Titillium Up" w:cs="Arial"/>
          <w:color w:val="000000"/>
          <w:sz w:val="24"/>
          <w:szCs w:val="24"/>
        </w:rPr>
        <w:t xml:space="preserve">assicurato aderisce alla Convenzione mediante iscrizione sul sito internet dedicato contestualmente al bonifico effettuato al broker. </w:t>
      </w:r>
    </w:p>
    <w:p w14:paraId="48B49FEB"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p>
    <w:p w14:paraId="5467DEED"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AMMANCO DI CASSA</w:t>
      </w:r>
    </w:p>
    <w:p w14:paraId="2FDFFACC"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D</w:t>
      </w:r>
      <w:r w:rsidRPr="00561674">
        <w:rPr>
          <w:rFonts w:ascii="Titillium Up" w:hAnsi="Titillium Up" w:cs="Arial"/>
          <w:color w:val="000000"/>
          <w:sz w:val="24"/>
          <w:szCs w:val="24"/>
        </w:rPr>
        <w:t>eficienze di cassa per contanti e/o valori riscontrati alla chiusura giornaliera dei conti</w:t>
      </w:r>
      <w:r>
        <w:rPr>
          <w:rFonts w:ascii="Titillium Up" w:hAnsi="Titillium Up" w:cs="Arial"/>
          <w:color w:val="000000"/>
          <w:sz w:val="24"/>
          <w:szCs w:val="24"/>
        </w:rPr>
        <w:t>.</w:t>
      </w:r>
    </w:p>
    <w:p w14:paraId="3EA52FA3"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p>
    <w:p w14:paraId="62215DA6"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ASSICURATO</w:t>
      </w:r>
    </w:p>
    <w:p w14:paraId="3512968D"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I</w:t>
      </w:r>
      <w:r w:rsidRPr="00561674">
        <w:rPr>
          <w:rFonts w:ascii="Titillium Up" w:hAnsi="Titillium Up" w:cs="Arial"/>
          <w:color w:val="000000"/>
          <w:sz w:val="24"/>
          <w:szCs w:val="24"/>
        </w:rPr>
        <w:t>l soggetto aderente al Sindacato di categoria il cui interesse è protetto</w:t>
      </w:r>
      <w:r>
        <w:rPr>
          <w:rFonts w:ascii="Titillium Up" w:hAnsi="Titillium Up" w:cs="Arial"/>
          <w:color w:val="000000"/>
          <w:sz w:val="24"/>
          <w:szCs w:val="24"/>
        </w:rPr>
        <w:t xml:space="preserve"> </w:t>
      </w:r>
      <w:r w:rsidRPr="00561674">
        <w:rPr>
          <w:rFonts w:ascii="Titillium Up" w:hAnsi="Titillium Up" w:cs="Arial"/>
          <w:color w:val="000000"/>
          <w:sz w:val="24"/>
          <w:szCs w:val="24"/>
        </w:rPr>
        <w:t>dall’assicurazione;</w:t>
      </w:r>
    </w:p>
    <w:p w14:paraId="2526729F" w14:textId="77777777" w:rsidR="00BE3F39" w:rsidRDefault="00BE3F39"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p>
    <w:p w14:paraId="4F07F79B" w14:textId="77777777" w:rsidR="00BE3F39" w:rsidRDefault="00BE3F39"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ASSICURAZIONE</w:t>
      </w:r>
    </w:p>
    <w:p w14:paraId="7FB2D7D6" w14:textId="77777777" w:rsidR="00F05BEF" w:rsidRDefault="00BE3F39"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I</w:t>
      </w:r>
      <w:r w:rsidR="00F05BEF" w:rsidRPr="00561674">
        <w:rPr>
          <w:rFonts w:ascii="Titillium Up" w:hAnsi="Titillium Up" w:cs="Arial"/>
          <w:color w:val="000000"/>
          <w:sz w:val="24"/>
          <w:szCs w:val="24"/>
        </w:rPr>
        <w:t>l contratto di assicurazione</w:t>
      </w:r>
      <w:r w:rsidR="00F05BEF">
        <w:rPr>
          <w:rFonts w:ascii="Titillium Up" w:hAnsi="Titillium Up" w:cs="Arial"/>
          <w:color w:val="000000"/>
          <w:sz w:val="24"/>
          <w:szCs w:val="24"/>
        </w:rPr>
        <w:t>.</w:t>
      </w:r>
    </w:p>
    <w:p w14:paraId="0B0F277A"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5F6A3B2D"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BROKER</w:t>
      </w:r>
    </w:p>
    <w:p w14:paraId="096D0E9C"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L</w:t>
      </w:r>
      <w:r w:rsidRPr="00561674">
        <w:rPr>
          <w:rFonts w:ascii="Titillium Up" w:hAnsi="Titillium Up" w:cs="Arial"/>
          <w:color w:val="000000"/>
          <w:sz w:val="24"/>
          <w:szCs w:val="24"/>
        </w:rPr>
        <w:t>’intermediario di assicurazioni a cui il Contraente abbia affidato l’incarico di Brokeraggio</w:t>
      </w:r>
      <w:r>
        <w:rPr>
          <w:rFonts w:ascii="Titillium Up" w:hAnsi="Titillium Up" w:cs="Arial"/>
          <w:color w:val="000000"/>
          <w:sz w:val="24"/>
          <w:szCs w:val="24"/>
        </w:rPr>
        <w:t>.</w:t>
      </w:r>
    </w:p>
    <w:p w14:paraId="37D6214F"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2CC894BD"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sidRPr="00561674">
        <w:rPr>
          <w:rFonts w:ascii="Titillium Up" w:hAnsi="Titillium Up" w:cs="Arial"/>
          <w:b/>
          <w:bCs/>
          <w:color w:val="000000"/>
          <w:sz w:val="24"/>
          <w:szCs w:val="24"/>
        </w:rPr>
        <w:t>CONTRAENTE</w:t>
      </w:r>
    </w:p>
    <w:p w14:paraId="25FEE39D"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I</w:t>
      </w:r>
      <w:r w:rsidRPr="00561674">
        <w:rPr>
          <w:rFonts w:ascii="Titillium Up" w:hAnsi="Titillium Up" w:cs="Arial"/>
          <w:color w:val="000000"/>
          <w:sz w:val="24"/>
          <w:szCs w:val="24"/>
        </w:rPr>
        <w:t>l soggetto che stipula l’assicurazione</w:t>
      </w:r>
      <w:r>
        <w:rPr>
          <w:rFonts w:ascii="Titillium Up" w:hAnsi="Titillium Up" w:cs="Arial"/>
          <w:color w:val="000000"/>
          <w:sz w:val="24"/>
          <w:szCs w:val="24"/>
        </w:rPr>
        <w:t>.</w:t>
      </w:r>
    </w:p>
    <w:p w14:paraId="3E6EC66B"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3ABEBC2E"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CONVENZIONE</w:t>
      </w:r>
    </w:p>
    <w:p w14:paraId="42460B39" w14:textId="77777777" w:rsidR="00F05BEF" w:rsidRDefault="00F05BEF" w:rsidP="00F05BEF">
      <w:pPr>
        <w:widowControl w:val="0"/>
        <w:autoSpaceDE w:val="0"/>
        <w:autoSpaceDN w:val="0"/>
        <w:adjustRightInd w:val="0"/>
        <w:ind w:firstLine="1"/>
        <w:jc w:val="both"/>
        <w:textAlignment w:val="center"/>
        <w:rPr>
          <w:rFonts w:ascii="Titillium Up" w:hAnsi="Titillium Up" w:cs="Arial"/>
          <w:color w:val="000000"/>
          <w:sz w:val="24"/>
          <w:szCs w:val="24"/>
        </w:rPr>
      </w:pPr>
      <w:r>
        <w:rPr>
          <w:rFonts w:ascii="Titillium Up" w:hAnsi="Titillium Up" w:cs="Arial"/>
          <w:color w:val="000000"/>
          <w:sz w:val="24"/>
          <w:szCs w:val="24"/>
        </w:rPr>
        <w:t>A</w:t>
      </w:r>
      <w:r w:rsidRPr="00561674">
        <w:rPr>
          <w:rFonts w:ascii="Titillium Up" w:hAnsi="Titillium Up" w:cs="Arial"/>
          <w:color w:val="000000"/>
          <w:sz w:val="24"/>
          <w:szCs w:val="24"/>
        </w:rPr>
        <w:t>ccordo sottoscritto dal Contraente con la Compagnia di Assicurazioni che disciplina la</w:t>
      </w:r>
      <w:r>
        <w:rPr>
          <w:rFonts w:ascii="Titillium Up" w:hAnsi="Titillium Up" w:cs="Arial"/>
          <w:color w:val="000000"/>
          <w:sz w:val="24"/>
          <w:szCs w:val="24"/>
        </w:rPr>
        <w:t xml:space="preserve"> </w:t>
      </w:r>
      <w:r w:rsidRPr="00561674">
        <w:rPr>
          <w:rFonts w:ascii="Titillium Up" w:hAnsi="Titillium Up" w:cs="Arial"/>
          <w:color w:val="000000"/>
          <w:sz w:val="24"/>
          <w:szCs w:val="24"/>
        </w:rPr>
        <w:t>copertura assicurativa prestata a favore di ciascun assicurato.</w:t>
      </w:r>
    </w:p>
    <w:p w14:paraId="142973BC"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1549A79A"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DIMORA ABITUALE</w:t>
      </w:r>
    </w:p>
    <w:p w14:paraId="45AF6A2E" w14:textId="77777777" w:rsidR="00F05BEF" w:rsidRDefault="00F05BEF" w:rsidP="00F05BEF">
      <w:pPr>
        <w:widowControl w:val="0"/>
        <w:autoSpaceDE w:val="0"/>
        <w:autoSpaceDN w:val="0"/>
        <w:adjustRightInd w:val="0"/>
        <w:ind w:firstLine="1"/>
        <w:jc w:val="both"/>
        <w:textAlignment w:val="center"/>
        <w:rPr>
          <w:rFonts w:ascii="Titillium Up" w:hAnsi="Titillium Up" w:cs="Arial"/>
          <w:color w:val="000000"/>
          <w:sz w:val="24"/>
          <w:szCs w:val="24"/>
        </w:rPr>
      </w:pPr>
      <w:r>
        <w:rPr>
          <w:rFonts w:ascii="Titillium Up" w:hAnsi="Titillium Up" w:cs="Arial"/>
          <w:color w:val="000000"/>
          <w:sz w:val="24"/>
          <w:szCs w:val="24"/>
        </w:rPr>
        <w:t>Q</w:t>
      </w:r>
      <w:r w:rsidRPr="00561674">
        <w:rPr>
          <w:rFonts w:ascii="Titillium Up" w:hAnsi="Titillium Up" w:cs="Arial"/>
          <w:color w:val="000000"/>
          <w:sz w:val="24"/>
          <w:szCs w:val="24"/>
        </w:rPr>
        <w:t>uella relativa alla residenza anagrafica dell’assicurato e comunque l’abitazione principale in cui l’assicurato dimora per la maggior parte dell’anno</w:t>
      </w:r>
      <w:r>
        <w:rPr>
          <w:rFonts w:ascii="Titillium Up" w:hAnsi="Titillium Up" w:cs="Arial"/>
          <w:color w:val="000000"/>
          <w:sz w:val="24"/>
          <w:szCs w:val="24"/>
        </w:rPr>
        <w:t>.</w:t>
      </w:r>
    </w:p>
    <w:p w14:paraId="75893921" w14:textId="77777777" w:rsidR="00F05BEF" w:rsidRPr="00561674" w:rsidRDefault="00F05BEF" w:rsidP="00F05BEF">
      <w:pPr>
        <w:widowControl w:val="0"/>
        <w:autoSpaceDE w:val="0"/>
        <w:autoSpaceDN w:val="0"/>
        <w:adjustRightInd w:val="0"/>
        <w:ind w:firstLine="1"/>
        <w:jc w:val="both"/>
        <w:textAlignment w:val="center"/>
        <w:rPr>
          <w:rFonts w:ascii="Titillium Up" w:hAnsi="Titillium Up" w:cs="Arial"/>
          <w:color w:val="000000"/>
          <w:sz w:val="24"/>
          <w:szCs w:val="24"/>
        </w:rPr>
      </w:pPr>
    </w:p>
    <w:p w14:paraId="2C619FB3"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DIMORA SALTUARI</w:t>
      </w:r>
      <w:r>
        <w:rPr>
          <w:rFonts w:ascii="Titillium Up" w:hAnsi="Titillium Up" w:cs="Arial"/>
          <w:b/>
          <w:bCs/>
          <w:color w:val="000000"/>
          <w:sz w:val="24"/>
          <w:szCs w:val="24"/>
        </w:rPr>
        <w:t>A</w:t>
      </w:r>
    </w:p>
    <w:p w14:paraId="3838617B"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Q</w:t>
      </w:r>
      <w:r w:rsidRPr="00561674">
        <w:rPr>
          <w:rFonts w:ascii="Titillium Up" w:hAnsi="Titillium Up" w:cs="Arial"/>
          <w:color w:val="000000"/>
          <w:sz w:val="24"/>
          <w:szCs w:val="24"/>
        </w:rPr>
        <w:t>uella in cui l’assicurato gode della disponibilità ma non dimora abitualmente</w:t>
      </w:r>
      <w:r>
        <w:rPr>
          <w:rFonts w:ascii="Titillium Up" w:hAnsi="Titillium Up" w:cs="Arial"/>
          <w:color w:val="000000"/>
          <w:sz w:val="24"/>
          <w:szCs w:val="24"/>
        </w:rPr>
        <w:t>.</w:t>
      </w:r>
    </w:p>
    <w:p w14:paraId="66008226"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3C8DDD2C"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FABBRICATO</w:t>
      </w:r>
    </w:p>
    <w:p w14:paraId="296AB402" w14:textId="77777777" w:rsidR="00F05BEF" w:rsidRDefault="00F05BEF" w:rsidP="00F05BEF">
      <w:pPr>
        <w:widowControl w:val="0"/>
        <w:autoSpaceDE w:val="0"/>
        <w:autoSpaceDN w:val="0"/>
        <w:adjustRightInd w:val="0"/>
        <w:ind w:firstLine="1"/>
        <w:jc w:val="both"/>
        <w:textAlignment w:val="center"/>
        <w:rPr>
          <w:rFonts w:ascii="Titillium Up" w:hAnsi="Titillium Up" w:cs="Arial"/>
          <w:color w:val="000000"/>
          <w:sz w:val="24"/>
          <w:szCs w:val="24"/>
        </w:rPr>
      </w:pPr>
      <w:r>
        <w:rPr>
          <w:rFonts w:ascii="Titillium Up" w:hAnsi="Titillium Up" w:cs="Arial"/>
          <w:color w:val="000000"/>
          <w:sz w:val="24"/>
          <w:szCs w:val="24"/>
        </w:rPr>
        <w:t>L</w:t>
      </w:r>
      <w:r w:rsidRPr="00561674">
        <w:rPr>
          <w:rFonts w:ascii="Titillium Up" w:hAnsi="Titillium Up" w:cs="Arial"/>
          <w:color w:val="000000"/>
          <w:sz w:val="24"/>
          <w:szCs w:val="24"/>
        </w:rPr>
        <w:t>a costruzione edile, costruita con strutture portanti verticali, pareti esterne e copertura del tetto in materiali incombustibili, adibita a civile abitazione comprendente i locali di proprietà dell’assicurato, costituenti l’intero fabbricato o una sua porzione, comprese le dipendenze (cantine, soffitte, box)</w:t>
      </w:r>
      <w:r>
        <w:rPr>
          <w:rFonts w:ascii="Titillium Up" w:hAnsi="Titillium Up" w:cs="Arial"/>
          <w:color w:val="000000"/>
          <w:sz w:val="24"/>
          <w:szCs w:val="24"/>
        </w:rPr>
        <w:t>.</w:t>
      </w:r>
    </w:p>
    <w:p w14:paraId="7D886E17" w14:textId="77777777" w:rsidR="00BE3F39" w:rsidRDefault="00BE3F39"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p>
    <w:p w14:paraId="75F45F7D"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FRANCHIGIA</w:t>
      </w:r>
    </w:p>
    <w:p w14:paraId="3B00376C"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P</w:t>
      </w:r>
      <w:r w:rsidRPr="00561674">
        <w:rPr>
          <w:rFonts w:ascii="Titillium Up" w:hAnsi="Titillium Up" w:cs="Arial"/>
          <w:color w:val="000000"/>
          <w:sz w:val="24"/>
          <w:szCs w:val="24"/>
        </w:rPr>
        <w:t>arte del danno risarcibile espressa in importo fisso che rimane a carico dell’Assicurato</w:t>
      </w:r>
      <w:r>
        <w:rPr>
          <w:rFonts w:ascii="Titillium Up" w:hAnsi="Titillium Up" w:cs="Arial"/>
          <w:color w:val="000000"/>
          <w:sz w:val="24"/>
          <w:szCs w:val="24"/>
        </w:rPr>
        <w:t>.</w:t>
      </w:r>
    </w:p>
    <w:p w14:paraId="125AEB33" w14:textId="77777777" w:rsidR="009A64DC" w:rsidRDefault="009A64DC"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p>
    <w:p w14:paraId="44FDC983"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lastRenderedPageBreak/>
        <w:t>INDENNIZZO</w:t>
      </w:r>
    </w:p>
    <w:p w14:paraId="57287317"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L</w:t>
      </w:r>
      <w:r w:rsidRPr="00561674">
        <w:rPr>
          <w:rFonts w:ascii="Titillium Up" w:hAnsi="Titillium Up" w:cs="Arial"/>
          <w:color w:val="000000"/>
          <w:sz w:val="24"/>
          <w:szCs w:val="24"/>
        </w:rPr>
        <w:t>a somma dovuta dalla Società in caso di sinistro</w:t>
      </w:r>
      <w:r>
        <w:rPr>
          <w:rFonts w:ascii="Titillium Up" w:hAnsi="Titillium Up" w:cs="Arial"/>
          <w:color w:val="000000"/>
          <w:sz w:val="24"/>
          <w:szCs w:val="24"/>
        </w:rPr>
        <w:t>.</w:t>
      </w:r>
    </w:p>
    <w:p w14:paraId="45D424A7"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768EF8B3"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LIMITE DI INDENNIZZO</w:t>
      </w:r>
    </w:p>
    <w:p w14:paraId="65E7E9A7"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L</w:t>
      </w:r>
      <w:r w:rsidRPr="00561674">
        <w:rPr>
          <w:rFonts w:ascii="Titillium Up" w:hAnsi="Titillium Up" w:cs="Arial"/>
          <w:color w:val="000000"/>
          <w:sz w:val="24"/>
          <w:szCs w:val="24"/>
        </w:rPr>
        <w:t>a somma massima dovuta dalla Società</w:t>
      </w:r>
      <w:r>
        <w:rPr>
          <w:rFonts w:ascii="Titillium Up" w:hAnsi="Titillium Up" w:cs="Arial"/>
          <w:color w:val="000000"/>
          <w:sz w:val="24"/>
          <w:szCs w:val="24"/>
        </w:rPr>
        <w:t>.</w:t>
      </w:r>
    </w:p>
    <w:p w14:paraId="0CFBAAF9"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p>
    <w:p w14:paraId="2DDADD3D"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POLIZZA</w:t>
      </w:r>
    </w:p>
    <w:p w14:paraId="40662B47"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I</w:t>
      </w:r>
      <w:r w:rsidRPr="00561674">
        <w:rPr>
          <w:rFonts w:ascii="Titillium Up" w:hAnsi="Titillium Up" w:cs="Arial"/>
          <w:color w:val="000000"/>
          <w:sz w:val="24"/>
          <w:szCs w:val="24"/>
        </w:rPr>
        <w:t>l documento che prova l’assicurazione</w:t>
      </w:r>
      <w:r>
        <w:rPr>
          <w:rFonts w:ascii="Titillium Up" w:hAnsi="Titillium Up" w:cs="Arial"/>
          <w:color w:val="000000"/>
          <w:sz w:val="24"/>
          <w:szCs w:val="24"/>
        </w:rPr>
        <w:t>.</w:t>
      </w:r>
    </w:p>
    <w:p w14:paraId="2A970C86"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7FC84053"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PREMIO</w:t>
      </w:r>
    </w:p>
    <w:p w14:paraId="4058B394" w14:textId="1B6C7A5B"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L</w:t>
      </w:r>
      <w:r w:rsidRPr="00561674">
        <w:rPr>
          <w:rFonts w:ascii="Titillium Up" w:hAnsi="Titillium Up" w:cs="Arial"/>
          <w:color w:val="000000"/>
          <w:sz w:val="24"/>
          <w:szCs w:val="24"/>
        </w:rPr>
        <w:t>a somma dovuta dal Contraente/Assicurato alla Società</w:t>
      </w:r>
      <w:r>
        <w:rPr>
          <w:rFonts w:ascii="Titillium Up" w:hAnsi="Titillium Up" w:cs="Arial"/>
          <w:color w:val="000000"/>
          <w:sz w:val="24"/>
          <w:szCs w:val="24"/>
        </w:rPr>
        <w:t>.</w:t>
      </w:r>
    </w:p>
    <w:p w14:paraId="2B9EB63F" w14:textId="02C269C7" w:rsidR="00207BC5" w:rsidRDefault="00207BC5"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5469E362" w14:textId="77777777" w:rsidR="00207BC5" w:rsidRPr="00A8159B" w:rsidRDefault="00207BC5" w:rsidP="00207BC5">
      <w:pPr>
        <w:widowControl w:val="0"/>
        <w:autoSpaceDE w:val="0"/>
        <w:autoSpaceDN w:val="0"/>
        <w:adjustRightInd w:val="0"/>
        <w:ind w:left="284" w:hanging="283"/>
        <w:jc w:val="both"/>
        <w:textAlignment w:val="center"/>
        <w:rPr>
          <w:rFonts w:ascii="Titillium Up" w:hAnsi="Titillium Up" w:cs="Arial"/>
          <w:b/>
          <w:bCs/>
          <w:color w:val="000000"/>
          <w:sz w:val="24"/>
          <w:szCs w:val="24"/>
        </w:rPr>
      </w:pPr>
      <w:bookmarkStart w:id="0" w:name="_Hlk86249392"/>
      <w:r w:rsidRPr="00A8159B">
        <w:rPr>
          <w:rFonts w:ascii="Titillium Up" w:hAnsi="Titillium Up" w:cs="Arial"/>
          <w:b/>
          <w:bCs/>
          <w:color w:val="000000"/>
          <w:sz w:val="24"/>
          <w:szCs w:val="24"/>
        </w:rPr>
        <w:t>PHISHING</w:t>
      </w:r>
    </w:p>
    <w:p w14:paraId="7D451112" w14:textId="77777777" w:rsidR="00207BC5" w:rsidRPr="00A8159B" w:rsidRDefault="00207BC5" w:rsidP="00207BC5">
      <w:pPr>
        <w:widowControl w:val="0"/>
        <w:autoSpaceDE w:val="0"/>
        <w:autoSpaceDN w:val="0"/>
        <w:adjustRightInd w:val="0"/>
        <w:ind w:left="284" w:hanging="283"/>
        <w:jc w:val="both"/>
        <w:textAlignment w:val="center"/>
        <w:rPr>
          <w:rFonts w:ascii="Titillium Up" w:hAnsi="Titillium Up" w:cs="Arial"/>
          <w:color w:val="000000"/>
          <w:sz w:val="24"/>
          <w:szCs w:val="24"/>
        </w:rPr>
      </w:pPr>
      <w:r w:rsidRPr="00A8159B">
        <w:rPr>
          <w:rFonts w:ascii="Titillium Up" w:hAnsi="Titillium Up" w:cs="Arial"/>
          <w:color w:val="000000"/>
          <w:sz w:val="24"/>
          <w:szCs w:val="24"/>
        </w:rPr>
        <w:t xml:space="preserve">Truffa compiuta tramite l’invio di email fraudolente. </w:t>
      </w:r>
    </w:p>
    <w:bookmarkEnd w:id="0"/>
    <w:p w14:paraId="25EDFF52"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3668BC5D"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RESPONSABILITÀ PROFESSIONALE</w:t>
      </w:r>
    </w:p>
    <w:p w14:paraId="6B0F11E0" w14:textId="77777777" w:rsidR="00F05BEF" w:rsidRDefault="00F05BEF" w:rsidP="00F05BEF">
      <w:pPr>
        <w:widowControl w:val="0"/>
        <w:autoSpaceDE w:val="0"/>
        <w:autoSpaceDN w:val="0"/>
        <w:adjustRightInd w:val="0"/>
        <w:ind w:firstLine="1"/>
        <w:jc w:val="both"/>
        <w:textAlignment w:val="center"/>
        <w:rPr>
          <w:rFonts w:ascii="Titillium Up" w:hAnsi="Titillium Up" w:cs="Arial"/>
          <w:color w:val="000000"/>
          <w:sz w:val="24"/>
          <w:szCs w:val="24"/>
        </w:rPr>
      </w:pPr>
      <w:r>
        <w:rPr>
          <w:rFonts w:ascii="Titillium Up" w:hAnsi="Titillium Up" w:cs="Arial"/>
          <w:color w:val="000000"/>
          <w:sz w:val="24"/>
          <w:szCs w:val="24"/>
        </w:rPr>
        <w:t>P</w:t>
      </w:r>
      <w:r w:rsidRPr="00561674">
        <w:rPr>
          <w:rFonts w:ascii="Titillium Up" w:hAnsi="Titillium Up" w:cs="Arial"/>
          <w:color w:val="000000"/>
          <w:sz w:val="24"/>
          <w:szCs w:val="24"/>
        </w:rPr>
        <w:t>erdite patrimoniali involontariamente cagionate a terzi, compreso l’Istituto di appartenenza, che abbiano comportato a carico dell’assicurato stesso il rimborso ai sensi di quanto previsto dal “ Contratto Collettivo Nazionale di Lavoro” in relazione all’adempimento delle mansioni affidategli.</w:t>
      </w:r>
    </w:p>
    <w:p w14:paraId="3C2DB344" w14:textId="77777777" w:rsidR="00F05BEF" w:rsidRPr="00561674" w:rsidRDefault="00F05BEF" w:rsidP="00F05BEF">
      <w:pPr>
        <w:widowControl w:val="0"/>
        <w:autoSpaceDE w:val="0"/>
        <w:autoSpaceDN w:val="0"/>
        <w:adjustRightInd w:val="0"/>
        <w:ind w:firstLine="1"/>
        <w:jc w:val="both"/>
        <w:textAlignment w:val="center"/>
        <w:rPr>
          <w:rFonts w:ascii="Titillium Up" w:hAnsi="Titillium Up" w:cs="Arial"/>
          <w:color w:val="000000"/>
          <w:sz w:val="24"/>
          <w:szCs w:val="24"/>
        </w:rPr>
      </w:pPr>
      <w:r w:rsidRPr="00561674">
        <w:rPr>
          <w:rFonts w:ascii="Titillium Up" w:hAnsi="Titillium Up" w:cs="Arial"/>
          <w:color w:val="000000"/>
          <w:sz w:val="24"/>
          <w:szCs w:val="24"/>
        </w:rPr>
        <w:t xml:space="preserve"> </w:t>
      </w:r>
    </w:p>
    <w:p w14:paraId="4042F8F7"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A3410">
        <w:rPr>
          <w:rFonts w:ascii="Titillium Up" w:hAnsi="Titillium Up" w:cs="Arial"/>
          <w:b/>
          <w:bCs/>
          <w:color w:val="000000"/>
          <w:sz w:val="24"/>
          <w:szCs w:val="24"/>
        </w:rPr>
        <w:t>SC</w:t>
      </w:r>
      <w:r w:rsidRPr="00561674">
        <w:rPr>
          <w:rFonts w:ascii="Titillium Up" w:hAnsi="Titillium Up" w:cs="Arial"/>
          <w:b/>
          <w:bCs/>
          <w:color w:val="000000"/>
          <w:sz w:val="24"/>
          <w:szCs w:val="24"/>
        </w:rPr>
        <w:t>OPERTO</w:t>
      </w:r>
    </w:p>
    <w:p w14:paraId="6455FD96"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P</w:t>
      </w:r>
      <w:r w:rsidRPr="00561674">
        <w:rPr>
          <w:rFonts w:ascii="Titillium Up" w:hAnsi="Titillium Up" w:cs="Arial"/>
          <w:color w:val="000000"/>
          <w:sz w:val="24"/>
          <w:szCs w:val="24"/>
        </w:rPr>
        <w:t>arte del danno risarcibile espressa in percentuale che rimane a carico dell’Assicurato</w:t>
      </w:r>
      <w:r>
        <w:rPr>
          <w:rFonts w:ascii="Titillium Up" w:hAnsi="Titillium Up" w:cs="Arial"/>
          <w:color w:val="000000"/>
          <w:sz w:val="24"/>
          <w:szCs w:val="24"/>
        </w:rPr>
        <w:t>.</w:t>
      </w:r>
    </w:p>
    <w:p w14:paraId="51EE45DF"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3CFB68CF"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SINISTRO</w:t>
      </w:r>
    </w:p>
    <w:p w14:paraId="13F09D27"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I</w:t>
      </w:r>
      <w:r w:rsidRPr="00561674">
        <w:rPr>
          <w:rFonts w:ascii="Titillium Up" w:hAnsi="Titillium Up" w:cs="Arial"/>
          <w:color w:val="000000"/>
          <w:sz w:val="24"/>
          <w:szCs w:val="24"/>
        </w:rPr>
        <w:t>l verificarsi del fatto dannoso, per il quale è prestata la copertura assicurativa</w:t>
      </w:r>
      <w:r>
        <w:rPr>
          <w:rFonts w:ascii="Titillium Up" w:hAnsi="Titillium Up" w:cs="Arial"/>
          <w:color w:val="000000"/>
          <w:sz w:val="24"/>
          <w:szCs w:val="24"/>
        </w:rPr>
        <w:t>.</w:t>
      </w:r>
    </w:p>
    <w:p w14:paraId="10C98D61" w14:textId="77777777" w:rsidR="00F05BEF" w:rsidRPr="00561674"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p>
    <w:p w14:paraId="1F417C29"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b/>
          <w:bCs/>
          <w:color w:val="000000"/>
          <w:sz w:val="24"/>
          <w:szCs w:val="24"/>
        </w:rPr>
      </w:pPr>
      <w:r w:rsidRPr="00561674">
        <w:rPr>
          <w:rFonts w:ascii="Titillium Up" w:hAnsi="Titillium Up" w:cs="Arial"/>
          <w:b/>
          <w:bCs/>
          <w:color w:val="000000"/>
          <w:sz w:val="24"/>
          <w:szCs w:val="24"/>
        </w:rPr>
        <w:t>SOCIETÀ</w:t>
      </w:r>
    </w:p>
    <w:p w14:paraId="2E44F408" w14:textId="77777777" w:rsidR="00F05BEF" w:rsidRDefault="00F05BEF" w:rsidP="00F05BEF">
      <w:pPr>
        <w:widowControl w:val="0"/>
        <w:autoSpaceDE w:val="0"/>
        <w:autoSpaceDN w:val="0"/>
        <w:adjustRightInd w:val="0"/>
        <w:ind w:left="284" w:hanging="283"/>
        <w:jc w:val="both"/>
        <w:textAlignment w:val="center"/>
        <w:rPr>
          <w:rFonts w:ascii="Titillium Up" w:hAnsi="Titillium Up" w:cs="Arial"/>
          <w:color w:val="000000"/>
          <w:sz w:val="24"/>
          <w:szCs w:val="24"/>
        </w:rPr>
      </w:pPr>
      <w:r>
        <w:rPr>
          <w:rFonts w:ascii="Titillium Up" w:hAnsi="Titillium Up" w:cs="Arial"/>
          <w:color w:val="000000"/>
          <w:sz w:val="24"/>
          <w:szCs w:val="24"/>
        </w:rPr>
        <w:t>L</w:t>
      </w:r>
      <w:r w:rsidRPr="00561674">
        <w:rPr>
          <w:rFonts w:ascii="Titillium Up" w:hAnsi="Titillium Up" w:cs="Arial"/>
          <w:color w:val="000000"/>
          <w:sz w:val="24"/>
          <w:szCs w:val="24"/>
        </w:rPr>
        <w:t>’impresa assicuratrice</w:t>
      </w:r>
      <w:r>
        <w:rPr>
          <w:rFonts w:ascii="Titillium Up" w:hAnsi="Titillium Up" w:cs="Arial"/>
          <w:color w:val="000000"/>
          <w:sz w:val="24"/>
          <w:szCs w:val="24"/>
        </w:rPr>
        <w:t>.</w:t>
      </w:r>
    </w:p>
    <w:p w14:paraId="2652A728" w14:textId="77777777" w:rsidR="00B31659" w:rsidRPr="00C04E56" w:rsidRDefault="00B31659" w:rsidP="00B31659">
      <w:pPr>
        <w:tabs>
          <w:tab w:val="left" w:pos="4253"/>
          <w:tab w:val="left" w:pos="5954"/>
          <w:tab w:val="left" w:pos="6805"/>
          <w:tab w:val="left" w:pos="8223"/>
          <w:tab w:val="left" w:pos="9641"/>
        </w:tabs>
        <w:jc w:val="both"/>
        <w:rPr>
          <w:rFonts w:ascii="Titillium Up" w:hAnsi="Titillium Up" w:cs="Arial"/>
          <w:b/>
          <w:color w:val="17365D"/>
          <w:sz w:val="36"/>
          <w:szCs w:val="22"/>
        </w:rPr>
      </w:pPr>
    </w:p>
    <w:p w14:paraId="4BE3719D" w14:textId="77777777" w:rsidR="00B31659" w:rsidRPr="00C04E56" w:rsidRDefault="00B31659" w:rsidP="004A3292">
      <w:pPr>
        <w:tabs>
          <w:tab w:val="left" w:pos="4253"/>
          <w:tab w:val="left" w:pos="5954"/>
          <w:tab w:val="left" w:pos="6805"/>
          <w:tab w:val="left" w:pos="8223"/>
          <w:tab w:val="left" w:pos="9641"/>
        </w:tabs>
        <w:jc w:val="both"/>
        <w:rPr>
          <w:rFonts w:ascii="Titillium Up" w:hAnsi="Titillium Up" w:cs="Arial"/>
          <w:b/>
          <w:color w:val="17365D"/>
          <w:sz w:val="36"/>
          <w:szCs w:val="22"/>
        </w:rPr>
      </w:pPr>
    </w:p>
    <w:p w14:paraId="6F8A63D5" w14:textId="77777777" w:rsidR="004A3292" w:rsidRPr="00C04E56" w:rsidRDefault="004A3292" w:rsidP="004A3292">
      <w:pPr>
        <w:pStyle w:val="Testonormale"/>
        <w:spacing w:line="360" w:lineRule="auto"/>
        <w:ind w:left="360"/>
        <w:jc w:val="both"/>
        <w:rPr>
          <w:rFonts w:ascii="Titillium Up" w:hAnsi="Titillium Up" w:cs="Arial"/>
          <w:b/>
          <w:color w:val="1F497D"/>
        </w:rPr>
      </w:pPr>
    </w:p>
    <w:p w14:paraId="2B24CD61" w14:textId="77777777" w:rsidR="004A3292" w:rsidRPr="00C04E56" w:rsidRDefault="004A3292" w:rsidP="004A3292">
      <w:pPr>
        <w:pStyle w:val="Testonormale"/>
        <w:spacing w:line="360" w:lineRule="auto"/>
        <w:ind w:left="360"/>
        <w:jc w:val="both"/>
        <w:rPr>
          <w:rFonts w:ascii="Titillium Up" w:hAnsi="Titillium Up" w:cs="Arial"/>
          <w:b/>
          <w:color w:val="1F497D"/>
        </w:rPr>
        <w:sectPr w:rsidR="004A3292" w:rsidRPr="00C04E56" w:rsidSect="0011173B">
          <w:headerReference w:type="even" r:id="rId15"/>
          <w:headerReference w:type="default" r:id="rId16"/>
          <w:footerReference w:type="even" r:id="rId17"/>
          <w:footerReference w:type="default" r:id="rId18"/>
          <w:headerReference w:type="first" r:id="rId19"/>
          <w:footerReference w:type="first" r:id="rId20"/>
          <w:pgSz w:w="11906" w:h="16838" w:code="9"/>
          <w:pgMar w:top="567" w:right="566" w:bottom="567" w:left="851" w:header="425" w:footer="361" w:gutter="0"/>
          <w:pgNumType w:start="1"/>
          <w:cols w:space="720" w:equalWidth="0">
            <w:col w:w="10489"/>
          </w:cols>
          <w:docGrid w:linePitch="272"/>
        </w:sectPr>
      </w:pPr>
    </w:p>
    <w:p w14:paraId="3DE7C467" w14:textId="77777777" w:rsidR="00E06399" w:rsidRPr="009857C8" w:rsidRDefault="00E06399" w:rsidP="00E06399">
      <w:pPr>
        <w:pStyle w:val="Paragrafoelenco"/>
        <w:widowControl w:val="0"/>
        <w:numPr>
          <w:ilvl w:val="0"/>
          <w:numId w:val="33"/>
        </w:numPr>
        <w:suppressAutoHyphens/>
        <w:autoSpaceDE w:val="0"/>
        <w:autoSpaceDN w:val="0"/>
        <w:adjustRightInd w:val="0"/>
        <w:spacing w:after="0" w:line="240" w:lineRule="auto"/>
        <w:ind w:left="284"/>
        <w:jc w:val="both"/>
        <w:textAlignment w:val="center"/>
        <w:rPr>
          <w:rFonts w:ascii="Titillium Up" w:eastAsia="Times New Roman" w:hAnsi="Titillium Up" w:cs="Arial"/>
          <w:b/>
          <w:color w:val="0070C0"/>
          <w:sz w:val="34"/>
          <w:szCs w:val="34"/>
          <w:u w:val="single"/>
          <w:lang w:eastAsia="it-IT"/>
        </w:rPr>
      </w:pPr>
      <w:bookmarkStart w:id="1" w:name="_Toc373310544"/>
      <w:bookmarkStart w:id="2" w:name="_Toc373313740"/>
      <w:r w:rsidRPr="009857C8">
        <w:rPr>
          <w:rFonts w:ascii="Titillium Up" w:eastAsia="Times New Roman" w:hAnsi="Titillium Up" w:cs="Arial"/>
          <w:b/>
          <w:color w:val="0070C0"/>
          <w:sz w:val="34"/>
          <w:szCs w:val="34"/>
          <w:u w:val="single"/>
          <w:lang w:eastAsia="it-IT"/>
        </w:rPr>
        <w:lastRenderedPageBreak/>
        <w:t xml:space="preserve">R.C. </w:t>
      </w:r>
      <w:r>
        <w:rPr>
          <w:rFonts w:ascii="Titillium Up" w:eastAsia="Times New Roman" w:hAnsi="Titillium Up" w:cs="Arial"/>
          <w:b/>
          <w:color w:val="0070C0"/>
          <w:sz w:val="34"/>
          <w:szCs w:val="34"/>
          <w:u w:val="single"/>
          <w:lang w:eastAsia="it-IT"/>
        </w:rPr>
        <w:t>PROFESSIONALE</w:t>
      </w:r>
    </w:p>
    <w:p w14:paraId="7F6665CD" w14:textId="77777777" w:rsidR="0012035D" w:rsidRPr="0012035D" w:rsidRDefault="0012035D" w:rsidP="0012035D">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3" w:name="_Toc373310545"/>
      <w:bookmarkStart w:id="4" w:name="_Toc373313741"/>
      <w:bookmarkStart w:id="5" w:name="_Toc24733986"/>
      <w:r w:rsidRPr="0012035D">
        <w:rPr>
          <w:rFonts w:ascii="Titillium Up" w:hAnsi="Titillium Up" w:cs="Arial"/>
          <w:b/>
          <w:bCs/>
          <w:caps/>
          <w:color w:val="0070C0"/>
          <w:w w:val="94"/>
          <w:sz w:val="28"/>
          <w:szCs w:val="28"/>
        </w:rPr>
        <w:t>2.1  Oggetto dell’assicurazione</w:t>
      </w:r>
      <w:bookmarkEnd w:id="3"/>
      <w:bookmarkEnd w:id="4"/>
      <w:bookmarkEnd w:id="5"/>
    </w:p>
    <w:p w14:paraId="165C6721" w14:textId="77777777" w:rsidR="0012035D" w:rsidRPr="0012035D" w:rsidRDefault="0012035D" w:rsidP="0012035D">
      <w:pPr>
        <w:autoSpaceDE w:val="0"/>
        <w:autoSpaceDN w:val="0"/>
        <w:adjustRightInd w:val="0"/>
        <w:ind w:left="426"/>
        <w:jc w:val="both"/>
        <w:rPr>
          <w:rFonts w:ascii="Titillium Up" w:hAnsi="Titillium Up"/>
          <w:color w:val="000000"/>
          <w:sz w:val="24"/>
          <w:szCs w:val="24"/>
          <w:u w:val="single"/>
        </w:rPr>
      </w:pPr>
      <w:r w:rsidRPr="0012035D">
        <w:rPr>
          <w:rFonts w:ascii="Titillium Up" w:hAnsi="Titillium Up"/>
          <w:color w:val="000000"/>
          <w:sz w:val="24"/>
          <w:szCs w:val="24"/>
        </w:rPr>
        <w:t xml:space="preserve">La Società si obbliga a tenere indenni gli Assicurati ( impiegati, quadri direttivi, dirigenti iscritti a Unita Sindacale F.A.L.C.R.I. – S.I.L.C.E.A. –S.I.N.F.U.B. ) di quanto questi siano tenuti a pagare quali civilmente responsabili, ai sensi di Legge, di perdite patrimoniali cagionate a terzi, compreso l’Istituto di Credito di appartenenza, a seguito di errori professionali involontariamente commessi nell’espletamento e nell’adempimento di compiti d’ufficio o di incarichi svolti, </w:t>
      </w:r>
      <w:r w:rsidRPr="0012035D">
        <w:rPr>
          <w:rFonts w:ascii="Titillium Up" w:hAnsi="Titillium Up"/>
          <w:color w:val="000000"/>
          <w:sz w:val="24"/>
          <w:szCs w:val="24"/>
          <w:u w:val="single"/>
        </w:rPr>
        <w:t>anche al di fuori della sede</w:t>
      </w:r>
      <w:r w:rsidRPr="0012035D">
        <w:rPr>
          <w:rFonts w:ascii="Titillium Up" w:hAnsi="Titillium Up"/>
          <w:color w:val="000000"/>
          <w:sz w:val="24"/>
          <w:szCs w:val="24"/>
        </w:rPr>
        <w:t xml:space="preserve">, nella loro qualità di dipendenti, in funzione della mansione assegnata. </w:t>
      </w:r>
    </w:p>
    <w:p w14:paraId="71ED27FD" w14:textId="77777777" w:rsidR="0012035D" w:rsidRPr="0012035D" w:rsidRDefault="0012035D" w:rsidP="0012035D">
      <w:pPr>
        <w:autoSpaceDE w:val="0"/>
        <w:autoSpaceDN w:val="0"/>
        <w:adjustRightInd w:val="0"/>
        <w:ind w:left="426"/>
        <w:jc w:val="both"/>
        <w:rPr>
          <w:rFonts w:ascii="Titillium Up" w:hAnsi="Titillium Up"/>
          <w:color w:val="000000"/>
          <w:sz w:val="24"/>
          <w:szCs w:val="24"/>
        </w:rPr>
      </w:pPr>
      <w:r w:rsidRPr="0012035D">
        <w:rPr>
          <w:rFonts w:ascii="Titillium Up" w:hAnsi="Titillium Up"/>
          <w:color w:val="000000"/>
          <w:sz w:val="24"/>
          <w:szCs w:val="24"/>
          <w:u w:val="single"/>
        </w:rPr>
        <w:t>La garanzia copre unicamente i casi di colpa grave</w:t>
      </w:r>
      <w:r w:rsidRPr="0012035D">
        <w:rPr>
          <w:rFonts w:ascii="Titillium Up" w:hAnsi="Titillium Up"/>
          <w:color w:val="000000"/>
          <w:sz w:val="24"/>
          <w:szCs w:val="24"/>
        </w:rPr>
        <w:t xml:space="preserve"> (art. 5 della Legge n°190 del 1985) e opera quando l’Istituto di Credito, </w:t>
      </w:r>
      <w:r w:rsidRPr="0012035D">
        <w:rPr>
          <w:rFonts w:ascii="Titillium Up" w:hAnsi="Titillium Up"/>
          <w:color w:val="000000"/>
          <w:sz w:val="24"/>
          <w:szCs w:val="24"/>
          <w:u w:val="single"/>
        </w:rPr>
        <w:t>dopo aver risarcito il danno a terzi, agisca in rivalsa nei confronti del dipendente</w:t>
      </w:r>
      <w:r w:rsidRPr="0012035D">
        <w:rPr>
          <w:rFonts w:ascii="Titillium Up" w:hAnsi="Titillium Up"/>
          <w:color w:val="000000"/>
          <w:sz w:val="24"/>
          <w:szCs w:val="24"/>
        </w:rPr>
        <w:t>. La garanzia si deve intendere operante anche nei casi in cui l’Istituto di Credito, dopo aver cmq agito formalmente l’azione di rivalsa nei confronti del dipendente per presunta Colpa grave, decida di transare il danno senza andare in giudizio, fermo il fatto che l’importo di tale transazione dovrà essere preventivamente espressamente autorizzato dalla Compagnia.</w:t>
      </w:r>
    </w:p>
    <w:p w14:paraId="32240E4C" w14:textId="77777777" w:rsidR="0012035D" w:rsidRPr="0012035D" w:rsidRDefault="0012035D" w:rsidP="0012035D">
      <w:pPr>
        <w:autoSpaceDE w:val="0"/>
        <w:autoSpaceDN w:val="0"/>
        <w:adjustRightInd w:val="0"/>
        <w:ind w:left="426"/>
        <w:jc w:val="both"/>
        <w:rPr>
          <w:rFonts w:ascii="Titillium Up" w:hAnsi="Titillium Up"/>
          <w:sz w:val="24"/>
          <w:szCs w:val="24"/>
        </w:rPr>
      </w:pPr>
      <w:r w:rsidRPr="0012035D">
        <w:rPr>
          <w:rFonts w:ascii="Titillium Up" w:hAnsi="Titillium Up"/>
          <w:color w:val="000000"/>
          <w:sz w:val="24"/>
          <w:szCs w:val="24"/>
        </w:rPr>
        <w:t>La Società si obbliga anche a tenere indenni gli Assicurati di quanto questi siano tenuti a pagare quali civilmente responsabili, ai sensi di Legge, di danni involontariamente</w:t>
      </w:r>
      <w:r w:rsidRPr="0012035D">
        <w:rPr>
          <w:rFonts w:ascii="Titillium Up" w:hAnsi="Titillium Up"/>
          <w:sz w:val="24"/>
          <w:szCs w:val="24"/>
        </w:rPr>
        <w:t xml:space="preserve"> cagionati a terzi, in conseguenza di fatti accidentali personalmente causati durante lo svolgimento dell’attività di conduzione dei locali e delle attrezzature e/o impianti in uso agli Assicurati.</w:t>
      </w:r>
    </w:p>
    <w:p w14:paraId="2C4536FA" w14:textId="77777777" w:rsidR="0012035D" w:rsidRPr="0012035D" w:rsidRDefault="0012035D" w:rsidP="0012035D">
      <w:pPr>
        <w:autoSpaceDE w:val="0"/>
        <w:autoSpaceDN w:val="0"/>
        <w:adjustRightInd w:val="0"/>
        <w:ind w:left="426"/>
        <w:jc w:val="both"/>
        <w:rPr>
          <w:rFonts w:ascii="Titillium Up" w:hAnsi="Titillium Up"/>
          <w:sz w:val="24"/>
          <w:szCs w:val="24"/>
        </w:rPr>
      </w:pPr>
    </w:p>
    <w:p w14:paraId="765AE597" w14:textId="77777777" w:rsidR="0012035D" w:rsidRPr="0012035D" w:rsidRDefault="0012035D" w:rsidP="0012035D">
      <w:pPr>
        <w:autoSpaceDE w:val="0"/>
        <w:autoSpaceDN w:val="0"/>
        <w:adjustRightInd w:val="0"/>
        <w:ind w:left="426"/>
        <w:jc w:val="both"/>
        <w:rPr>
          <w:rFonts w:ascii="Titillium Up" w:hAnsi="Titillium Up"/>
          <w:b/>
          <w:sz w:val="24"/>
          <w:szCs w:val="24"/>
        </w:rPr>
      </w:pPr>
      <w:r w:rsidRPr="0012035D">
        <w:rPr>
          <w:rFonts w:ascii="Titillium Up" w:hAnsi="Titillium Up"/>
          <w:b/>
          <w:sz w:val="24"/>
          <w:szCs w:val="24"/>
        </w:rPr>
        <w:t>A titolo esemplificativo e non limitativo, la garanzia comprende:</w:t>
      </w:r>
    </w:p>
    <w:p w14:paraId="1826CAB8" w14:textId="77777777" w:rsidR="0012035D" w:rsidRPr="0012035D" w:rsidRDefault="0012035D" w:rsidP="0012035D">
      <w:pPr>
        <w:numPr>
          <w:ilvl w:val="0"/>
          <w:numId w:val="43"/>
        </w:numPr>
        <w:tabs>
          <w:tab w:val="clear" w:pos="780"/>
          <w:tab w:val="num" w:pos="1206"/>
        </w:tabs>
        <w:autoSpaceDE w:val="0"/>
        <w:autoSpaceDN w:val="0"/>
        <w:adjustRightInd w:val="0"/>
        <w:ind w:left="1206"/>
        <w:jc w:val="both"/>
        <w:rPr>
          <w:rFonts w:ascii="Titillium Up" w:hAnsi="Titillium Up"/>
          <w:b/>
          <w:sz w:val="24"/>
          <w:szCs w:val="24"/>
        </w:rPr>
      </w:pPr>
      <w:r w:rsidRPr="0012035D">
        <w:rPr>
          <w:rFonts w:ascii="Titillium Up" w:hAnsi="Titillium Up"/>
          <w:b/>
          <w:sz w:val="24"/>
          <w:szCs w:val="24"/>
        </w:rPr>
        <w:t>i danni avvenuti in conseguenza di errori commessi nelle operazioni di tesoreria</w:t>
      </w:r>
    </w:p>
    <w:p w14:paraId="233BA7DF" w14:textId="77777777" w:rsidR="0012035D" w:rsidRPr="0012035D" w:rsidRDefault="0012035D" w:rsidP="0012035D">
      <w:pPr>
        <w:numPr>
          <w:ilvl w:val="0"/>
          <w:numId w:val="43"/>
        </w:numPr>
        <w:tabs>
          <w:tab w:val="clear" w:pos="780"/>
          <w:tab w:val="num" w:pos="1206"/>
        </w:tabs>
        <w:autoSpaceDE w:val="0"/>
        <w:autoSpaceDN w:val="0"/>
        <w:adjustRightInd w:val="0"/>
        <w:ind w:left="1206"/>
        <w:jc w:val="both"/>
        <w:rPr>
          <w:rFonts w:ascii="Titillium Up" w:hAnsi="Titillium Up"/>
          <w:b/>
          <w:sz w:val="24"/>
          <w:szCs w:val="24"/>
        </w:rPr>
      </w:pPr>
      <w:r w:rsidRPr="0012035D">
        <w:rPr>
          <w:rFonts w:ascii="Titillium Up" w:hAnsi="Titillium Up"/>
          <w:b/>
          <w:sz w:val="24"/>
          <w:szCs w:val="24"/>
        </w:rPr>
        <w:t>le operazioni con l’estero e le operazioni di cambio</w:t>
      </w:r>
    </w:p>
    <w:p w14:paraId="42A3E43D" w14:textId="77777777" w:rsidR="0012035D" w:rsidRPr="0012035D" w:rsidRDefault="0012035D" w:rsidP="0012035D">
      <w:pPr>
        <w:numPr>
          <w:ilvl w:val="0"/>
          <w:numId w:val="43"/>
        </w:numPr>
        <w:tabs>
          <w:tab w:val="clear" w:pos="780"/>
          <w:tab w:val="num" w:pos="1206"/>
        </w:tabs>
        <w:autoSpaceDE w:val="0"/>
        <w:autoSpaceDN w:val="0"/>
        <w:adjustRightInd w:val="0"/>
        <w:ind w:left="1206"/>
        <w:jc w:val="both"/>
        <w:rPr>
          <w:rFonts w:ascii="Titillium Up" w:hAnsi="Titillium Up"/>
          <w:b/>
          <w:sz w:val="24"/>
          <w:szCs w:val="24"/>
        </w:rPr>
      </w:pPr>
      <w:r w:rsidRPr="0012035D">
        <w:rPr>
          <w:rFonts w:ascii="Titillium Up" w:hAnsi="Titillium Up"/>
          <w:b/>
          <w:sz w:val="24"/>
          <w:szCs w:val="24"/>
        </w:rPr>
        <w:t>le operazioni di bonifico, i ritardati pagamenti di utenze e tributi ed altre imposte, gli errori di pagamento di titoli trafugati (assegni, travel-cheques, euro-cheques), taglio cedole, il ritardato incasso di certificati di deposito, i mancati richiami o proroghe di assegni ed effetti cambiari, il ritardo degli storni e segnalazioni di non pagato di assegni</w:t>
      </w:r>
    </w:p>
    <w:p w14:paraId="2477C3EA" w14:textId="77777777" w:rsidR="0012035D" w:rsidRPr="0012035D" w:rsidRDefault="0012035D" w:rsidP="0012035D">
      <w:pPr>
        <w:numPr>
          <w:ilvl w:val="0"/>
          <w:numId w:val="43"/>
        </w:numPr>
        <w:tabs>
          <w:tab w:val="clear" w:pos="780"/>
          <w:tab w:val="num" w:pos="1206"/>
        </w:tabs>
        <w:autoSpaceDE w:val="0"/>
        <w:autoSpaceDN w:val="0"/>
        <w:adjustRightInd w:val="0"/>
        <w:ind w:left="1206"/>
        <w:jc w:val="both"/>
        <w:rPr>
          <w:rFonts w:ascii="Titillium Up" w:hAnsi="Titillium Up"/>
          <w:b/>
          <w:sz w:val="24"/>
          <w:szCs w:val="24"/>
        </w:rPr>
      </w:pPr>
      <w:r w:rsidRPr="0012035D">
        <w:rPr>
          <w:rFonts w:ascii="Titillium Up" w:hAnsi="Titillium Up"/>
          <w:b/>
          <w:sz w:val="24"/>
          <w:szCs w:val="24"/>
        </w:rPr>
        <w:t>la negoziazione di titoli, compravendita di titoli azionari, gestione patrimoni immobiliari.</w:t>
      </w:r>
    </w:p>
    <w:p w14:paraId="21A3B3FD" w14:textId="77777777" w:rsidR="0012035D" w:rsidRPr="0012035D" w:rsidRDefault="0012035D" w:rsidP="0012035D">
      <w:pPr>
        <w:numPr>
          <w:ilvl w:val="0"/>
          <w:numId w:val="46"/>
        </w:numPr>
        <w:tabs>
          <w:tab w:val="left" w:pos="1206"/>
        </w:tabs>
        <w:suppressAutoHyphens/>
        <w:autoSpaceDE w:val="0"/>
        <w:ind w:left="1206"/>
        <w:jc w:val="both"/>
        <w:rPr>
          <w:rFonts w:ascii="Titillium Up" w:hAnsi="Titillium Up"/>
          <w:b/>
          <w:sz w:val="24"/>
          <w:szCs w:val="24"/>
        </w:rPr>
      </w:pPr>
      <w:r w:rsidRPr="0012035D">
        <w:rPr>
          <w:rFonts w:ascii="Titillium Up" w:hAnsi="Titillium Up"/>
          <w:b/>
          <w:sz w:val="24"/>
          <w:szCs w:val="24"/>
        </w:rPr>
        <w:t xml:space="preserve">Le sanzioni per violazione di segnalazione banconote false e negoziazione di assegni sprovvisti della clausola “Non trasferibili” (Art. 2 comma 152 </w:t>
      </w:r>
      <w:proofErr w:type="spellStart"/>
      <w:r w:rsidRPr="0012035D">
        <w:rPr>
          <w:rFonts w:ascii="Titillium Up" w:hAnsi="Titillium Up"/>
          <w:b/>
          <w:sz w:val="24"/>
          <w:szCs w:val="24"/>
        </w:rPr>
        <w:t>D.l.</w:t>
      </w:r>
      <w:proofErr w:type="spellEnd"/>
      <w:r w:rsidRPr="0012035D">
        <w:rPr>
          <w:rFonts w:ascii="Titillium Up" w:hAnsi="Titillium Up"/>
          <w:b/>
          <w:sz w:val="24"/>
          <w:szCs w:val="24"/>
        </w:rPr>
        <w:t xml:space="preserve"> 262/2006 e Art. 5 del D.M. 28 aprile 2016 del Ministero dell’Economia e delle Finanze) nel caso di azione di rivalsa da parte dell’Istituto di credito nei confronti dell’assicurato fino ad un massimale di € 2.000,00 per sinistro ed anno assicurativo. </w:t>
      </w:r>
    </w:p>
    <w:p w14:paraId="203CAB6E" w14:textId="77777777" w:rsidR="0012035D" w:rsidRPr="0012035D" w:rsidRDefault="0012035D" w:rsidP="009A64DC">
      <w:pPr>
        <w:numPr>
          <w:ilvl w:val="0"/>
          <w:numId w:val="46"/>
        </w:numPr>
        <w:tabs>
          <w:tab w:val="clear" w:pos="780"/>
          <w:tab w:val="num" w:pos="1206"/>
        </w:tabs>
        <w:ind w:left="1206"/>
        <w:jc w:val="both"/>
        <w:rPr>
          <w:rFonts w:ascii="Titillium Up" w:hAnsi="Titillium Up"/>
          <w:b/>
          <w:sz w:val="24"/>
          <w:szCs w:val="24"/>
        </w:rPr>
      </w:pPr>
      <w:r w:rsidRPr="0012035D">
        <w:rPr>
          <w:rFonts w:ascii="Titillium Up" w:hAnsi="Titillium Up"/>
          <w:b/>
          <w:sz w:val="24"/>
          <w:szCs w:val="24"/>
        </w:rPr>
        <w:t>errori formali e/o documentali nella stipula di assicurazioni in conformità al regolamento IVASS n.40 del 02/08/2018 e loro successive modifiche e/o integrazioni. Tale estensione è valida qualora il dipendente sia in regola con la formazione/aggiornamento professionale prevista dalle leggi e regolamenti.</w:t>
      </w:r>
    </w:p>
    <w:p w14:paraId="52896F7B" w14:textId="77777777" w:rsidR="0012035D" w:rsidRPr="0012035D" w:rsidRDefault="0012035D" w:rsidP="0012035D">
      <w:pPr>
        <w:numPr>
          <w:ilvl w:val="0"/>
          <w:numId w:val="46"/>
        </w:numPr>
        <w:tabs>
          <w:tab w:val="left" w:pos="1206"/>
        </w:tabs>
        <w:suppressAutoHyphens/>
        <w:autoSpaceDE w:val="0"/>
        <w:ind w:left="1206"/>
        <w:jc w:val="both"/>
        <w:rPr>
          <w:rFonts w:ascii="Titillium Up" w:hAnsi="Titillium Up"/>
          <w:b/>
          <w:sz w:val="24"/>
          <w:szCs w:val="24"/>
        </w:rPr>
      </w:pPr>
      <w:r w:rsidRPr="0012035D">
        <w:rPr>
          <w:rFonts w:ascii="Titillium Up" w:hAnsi="Titillium Up"/>
          <w:b/>
          <w:sz w:val="24"/>
          <w:szCs w:val="24"/>
        </w:rPr>
        <w:t>rischi connessi con la concessione di prestiti, mutui, fidi e finanziamenti</w:t>
      </w:r>
    </w:p>
    <w:p w14:paraId="7D869753" w14:textId="77777777" w:rsidR="0012035D" w:rsidRPr="0012035D" w:rsidRDefault="0012035D" w:rsidP="0012035D">
      <w:pPr>
        <w:numPr>
          <w:ilvl w:val="0"/>
          <w:numId w:val="46"/>
        </w:numPr>
        <w:tabs>
          <w:tab w:val="clear" w:pos="780"/>
          <w:tab w:val="num" w:pos="1206"/>
        </w:tabs>
        <w:ind w:left="1206"/>
        <w:rPr>
          <w:rFonts w:ascii="Titillium Up" w:hAnsi="Titillium Up"/>
          <w:b/>
          <w:sz w:val="24"/>
          <w:szCs w:val="24"/>
        </w:rPr>
      </w:pPr>
      <w:r w:rsidRPr="0012035D">
        <w:rPr>
          <w:rFonts w:ascii="Titillium Up" w:hAnsi="Titillium Up"/>
          <w:b/>
          <w:sz w:val="24"/>
          <w:szCs w:val="24"/>
        </w:rPr>
        <w:t xml:space="preserve">violazioni della normativa sulla privacy </w:t>
      </w:r>
    </w:p>
    <w:p w14:paraId="2F683C98" w14:textId="77777777" w:rsidR="0012035D" w:rsidRDefault="0012035D" w:rsidP="0012035D">
      <w:pPr>
        <w:autoSpaceDE w:val="0"/>
        <w:autoSpaceDN w:val="0"/>
        <w:adjustRightInd w:val="0"/>
        <w:rPr>
          <w:sz w:val="24"/>
          <w:szCs w:val="24"/>
        </w:rPr>
      </w:pPr>
    </w:p>
    <w:p w14:paraId="4CE96D5B" w14:textId="77777777" w:rsidR="009A64DC" w:rsidRDefault="009A64DC" w:rsidP="0012035D">
      <w:pPr>
        <w:autoSpaceDE w:val="0"/>
        <w:autoSpaceDN w:val="0"/>
        <w:adjustRightInd w:val="0"/>
        <w:rPr>
          <w:sz w:val="24"/>
          <w:szCs w:val="24"/>
        </w:rPr>
      </w:pPr>
    </w:p>
    <w:p w14:paraId="3215299B" w14:textId="77777777" w:rsidR="0012035D" w:rsidRPr="0012035D" w:rsidRDefault="0012035D" w:rsidP="0012035D">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6" w:name="_Toc373310546"/>
      <w:bookmarkStart w:id="7" w:name="_Toc373313742"/>
      <w:bookmarkStart w:id="8" w:name="_Toc24733987"/>
      <w:r w:rsidRPr="0012035D">
        <w:rPr>
          <w:rFonts w:ascii="Titillium Up" w:hAnsi="Titillium Up" w:cs="Arial"/>
          <w:b/>
          <w:bCs/>
          <w:caps/>
          <w:color w:val="0070C0"/>
          <w:w w:val="94"/>
          <w:sz w:val="28"/>
          <w:szCs w:val="28"/>
        </w:rPr>
        <w:t>2.2 Delimitazione dell’assicurazione - Esclusioni</w:t>
      </w:r>
      <w:bookmarkEnd w:id="6"/>
      <w:bookmarkEnd w:id="7"/>
      <w:bookmarkEnd w:id="8"/>
    </w:p>
    <w:p w14:paraId="70E9E836" w14:textId="77777777" w:rsidR="0012035D" w:rsidRPr="0012035D" w:rsidRDefault="0012035D" w:rsidP="0012035D">
      <w:pPr>
        <w:pStyle w:val="PreformattatoHTML"/>
        <w:ind w:left="426"/>
        <w:jc w:val="both"/>
        <w:rPr>
          <w:rFonts w:ascii="Titillium Up" w:hAnsi="Titillium Up" w:cs="Times New Roman"/>
          <w:sz w:val="24"/>
          <w:szCs w:val="24"/>
        </w:rPr>
      </w:pPr>
      <w:r w:rsidRPr="0012035D">
        <w:rPr>
          <w:rFonts w:ascii="Titillium Up" w:hAnsi="Titillium Up" w:cs="Times New Roman"/>
          <w:sz w:val="24"/>
          <w:szCs w:val="24"/>
          <w:u w:val="single"/>
        </w:rPr>
        <w:t>Non sono considerati terzi:</w:t>
      </w:r>
      <w:r w:rsidRPr="0012035D">
        <w:rPr>
          <w:rFonts w:ascii="Titillium Up" w:hAnsi="Titillium Up" w:cs="Times New Roman"/>
          <w:sz w:val="24"/>
          <w:szCs w:val="24"/>
        </w:rPr>
        <w:t xml:space="preserve"> L'assicurato, il coniuge, i genitori, i figli dell'Assicurato, nonché qualsiasi altro parente od affine.</w:t>
      </w:r>
    </w:p>
    <w:p w14:paraId="587E55B4" w14:textId="77777777" w:rsidR="0012035D" w:rsidRPr="0012035D" w:rsidRDefault="0012035D" w:rsidP="0012035D">
      <w:pPr>
        <w:autoSpaceDE w:val="0"/>
        <w:autoSpaceDN w:val="0"/>
        <w:adjustRightInd w:val="0"/>
        <w:ind w:left="426"/>
        <w:jc w:val="both"/>
        <w:rPr>
          <w:rFonts w:ascii="Titillium Up" w:hAnsi="Titillium Up"/>
          <w:sz w:val="24"/>
          <w:szCs w:val="24"/>
        </w:rPr>
      </w:pPr>
      <w:r w:rsidRPr="0012035D">
        <w:rPr>
          <w:rFonts w:ascii="Titillium Up" w:hAnsi="Titillium Up"/>
          <w:sz w:val="24"/>
          <w:szCs w:val="24"/>
          <w:u w:val="single"/>
        </w:rPr>
        <w:t>Esclusione Dolo:</w:t>
      </w:r>
      <w:r w:rsidRPr="0012035D">
        <w:rPr>
          <w:rFonts w:ascii="Titillium Up" w:hAnsi="Titillium Up"/>
          <w:sz w:val="24"/>
          <w:szCs w:val="24"/>
        </w:rPr>
        <w:t xml:space="preserve"> La garanzia prestata con la presente polizza non sarà operante per i rimborsi conseguenti a perdite dovute a fatto penalmente perseguibile, infedeltà e dolo dell’Assicurato.</w:t>
      </w:r>
    </w:p>
    <w:p w14:paraId="01AABE6D" w14:textId="77777777" w:rsidR="0012035D" w:rsidRPr="0012035D" w:rsidRDefault="0012035D" w:rsidP="0012035D">
      <w:pPr>
        <w:pStyle w:val="PreformattatoHTML"/>
        <w:ind w:left="426"/>
        <w:jc w:val="both"/>
        <w:rPr>
          <w:rFonts w:ascii="Titillium Up" w:hAnsi="Titillium Up" w:cs="Times New Roman"/>
          <w:sz w:val="24"/>
          <w:szCs w:val="24"/>
        </w:rPr>
      </w:pPr>
      <w:r w:rsidRPr="0012035D">
        <w:rPr>
          <w:rFonts w:ascii="Titillium Up" w:hAnsi="Titillium Up" w:cs="Times New Roman"/>
          <w:sz w:val="24"/>
          <w:szCs w:val="24"/>
          <w:u w:val="single"/>
        </w:rPr>
        <w:lastRenderedPageBreak/>
        <w:t>L'assicurazione non vale per</w:t>
      </w:r>
      <w:r w:rsidRPr="0012035D">
        <w:rPr>
          <w:rFonts w:ascii="Titillium Up" w:hAnsi="Titillium Up" w:cs="Times New Roman"/>
          <w:sz w:val="24"/>
          <w:szCs w:val="24"/>
        </w:rPr>
        <w:t>:</w:t>
      </w:r>
    </w:p>
    <w:p w14:paraId="0E57FB85" w14:textId="77777777" w:rsidR="0012035D" w:rsidRPr="0012035D" w:rsidRDefault="0012035D" w:rsidP="0012035D">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sidRPr="0012035D">
        <w:rPr>
          <w:rFonts w:ascii="Titillium Up" w:hAnsi="Titillium Up" w:cs="Times New Roman"/>
          <w:sz w:val="24"/>
          <w:szCs w:val="24"/>
        </w:rPr>
        <w:t xml:space="preserve">le perdite patrimoniali derivanti da furto, rapina, furto con destrezza, </w:t>
      </w:r>
      <w:r w:rsidRPr="0012035D">
        <w:rPr>
          <w:rFonts w:ascii="Titillium Up" w:hAnsi="Titillium Up" w:cs="Times New Roman"/>
          <w:color w:val="000000"/>
          <w:sz w:val="24"/>
          <w:szCs w:val="24"/>
        </w:rPr>
        <w:t>smarrimento, incendio, danneggiamento e distruzione di valori.</w:t>
      </w:r>
      <w:r w:rsidRPr="0012035D">
        <w:rPr>
          <w:rFonts w:ascii="Titillium Up" w:hAnsi="Titillium Up" w:cs="Times New Roman"/>
          <w:sz w:val="24"/>
          <w:szCs w:val="24"/>
        </w:rPr>
        <w:t xml:space="preserve">         </w:t>
      </w:r>
    </w:p>
    <w:p w14:paraId="6058DF54" w14:textId="77777777" w:rsidR="0012035D" w:rsidRPr="0012035D" w:rsidRDefault="0012035D" w:rsidP="0012035D">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sidRPr="0012035D">
        <w:rPr>
          <w:rFonts w:ascii="Titillium Up" w:hAnsi="Titillium Up" w:cs="Times New Roman"/>
          <w:sz w:val="24"/>
          <w:szCs w:val="24"/>
        </w:rPr>
        <w:t>i danni a persone (morte e lesioni personali) e per danneggiamenti a cose;</w:t>
      </w:r>
    </w:p>
    <w:p w14:paraId="4C7C8B55" w14:textId="77777777" w:rsidR="0012035D" w:rsidRPr="0012035D" w:rsidRDefault="0012035D" w:rsidP="0012035D">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sidRPr="0012035D">
        <w:rPr>
          <w:rFonts w:ascii="Titillium Up" w:hAnsi="Titillium Up" w:cs="Times New Roman"/>
          <w:sz w:val="24"/>
          <w:szCs w:val="24"/>
        </w:rPr>
        <w:t>le perdite patrimoniali derivanti dalla stipulazione di polizze di assicurazioni non adeguate e/o congrue alle esigenze del cliente; si conferma invece l’operatività della garanzia per quanto riguarda le attività connesse ad errori formali e/o documentali relativamente alla stipula di polizze di assicurazione;</w:t>
      </w:r>
    </w:p>
    <w:p w14:paraId="60FA1258" w14:textId="77777777" w:rsidR="0012035D" w:rsidRPr="0012035D" w:rsidRDefault="0012035D" w:rsidP="0012035D">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sidRPr="0012035D">
        <w:rPr>
          <w:rFonts w:ascii="Titillium Up" w:hAnsi="Titillium Up" w:cs="Times New Roman"/>
          <w:sz w:val="24"/>
          <w:szCs w:val="24"/>
        </w:rPr>
        <w:t>il mancato raggiungimento del fine o dell'insuccesso di iniziative aziendali e commerciali;</w:t>
      </w:r>
    </w:p>
    <w:p w14:paraId="749EAB55" w14:textId="77777777" w:rsidR="0012035D" w:rsidRPr="0012035D" w:rsidRDefault="0012035D" w:rsidP="0012035D">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sidRPr="0012035D">
        <w:rPr>
          <w:rFonts w:ascii="Titillium Up" w:hAnsi="Titillium Up" w:cs="Times New Roman"/>
          <w:sz w:val="24"/>
          <w:szCs w:val="24"/>
        </w:rPr>
        <w:t>l'attività svolta dall'Assicurato quale componente di consigli di amministrazione di enti o società;</w:t>
      </w:r>
    </w:p>
    <w:p w14:paraId="061FD544" w14:textId="71FA4C54" w:rsidR="0012035D" w:rsidRPr="0012035D" w:rsidRDefault="0012035D" w:rsidP="0012035D">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sidRPr="0012035D">
        <w:rPr>
          <w:rFonts w:ascii="Titillium Up" w:hAnsi="Titillium Up" w:cs="Times New Roman"/>
          <w:sz w:val="24"/>
          <w:szCs w:val="24"/>
        </w:rPr>
        <w:t xml:space="preserve">azioni ed omissioni compiute allo scopo di causare un illecito profitto e/o vantaggio a favore proprio, dell'Istituto di Credito di appartenenza e/o di chiunque altro; </w:t>
      </w:r>
    </w:p>
    <w:p w14:paraId="0E454F13" w14:textId="77777777" w:rsidR="0012035D" w:rsidRPr="0012035D" w:rsidRDefault="0012035D" w:rsidP="0012035D">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sidRPr="0012035D">
        <w:rPr>
          <w:rFonts w:ascii="Titillium Up" w:hAnsi="Titillium Up" w:cs="Times New Roman"/>
          <w:sz w:val="24"/>
          <w:szCs w:val="24"/>
        </w:rPr>
        <w:t>l'attività di estimatori di pegni;</w:t>
      </w:r>
    </w:p>
    <w:p w14:paraId="13F73651" w14:textId="77777777" w:rsidR="0012035D" w:rsidRPr="0012035D" w:rsidRDefault="0012035D" w:rsidP="0012035D">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sidRPr="0012035D">
        <w:rPr>
          <w:rFonts w:ascii="Titillium Up" w:hAnsi="Titillium Up" w:cs="Times New Roman"/>
          <w:sz w:val="24"/>
          <w:szCs w:val="24"/>
        </w:rPr>
        <w:t>l’attività connessa all'assunzione e gestione del personale;</w:t>
      </w:r>
    </w:p>
    <w:p w14:paraId="0DEB6D90" w14:textId="78DA8BFF" w:rsidR="0012035D" w:rsidRPr="0012035D" w:rsidRDefault="009A64DC" w:rsidP="0012035D">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Pr>
          <w:rFonts w:ascii="Titillium Up" w:hAnsi="Titillium Up" w:cs="Times New Roman"/>
          <w:sz w:val="24"/>
          <w:szCs w:val="24"/>
        </w:rPr>
        <w:t xml:space="preserve">  </w:t>
      </w:r>
      <w:r w:rsidR="0012035D" w:rsidRPr="0012035D">
        <w:rPr>
          <w:rFonts w:ascii="Titillium Up" w:hAnsi="Titillium Up" w:cs="Times New Roman"/>
          <w:sz w:val="24"/>
          <w:szCs w:val="24"/>
        </w:rPr>
        <w:t>le perdite patrimoniali derivanti dall'uso fraudolento di sistemi di elaborazione dati;</w:t>
      </w:r>
    </w:p>
    <w:p w14:paraId="1BD6E044" w14:textId="77777777" w:rsidR="0012035D" w:rsidRPr="0012035D" w:rsidRDefault="009A64DC" w:rsidP="0012035D">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Pr>
          <w:rFonts w:ascii="Titillium Up" w:hAnsi="Titillium Up" w:cs="Times New Roman"/>
          <w:sz w:val="24"/>
          <w:szCs w:val="24"/>
        </w:rPr>
        <w:t xml:space="preserve">  </w:t>
      </w:r>
      <w:r w:rsidR="0012035D" w:rsidRPr="0012035D">
        <w:rPr>
          <w:rFonts w:ascii="Titillium Up" w:hAnsi="Titillium Up" w:cs="Times New Roman"/>
          <w:sz w:val="24"/>
          <w:szCs w:val="24"/>
        </w:rPr>
        <w:t>le perdite patrimoniali derivanti da difetti e/o errori del software utilizzato per l'attività e realizzato o adottato dall'Istituto di Credito presso il quale l'Assicurato è dipendente; da ammanchi derivanti dal malfunzionamento del Bancomat o cassetti automatici</w:t>
      </w:r>
      <w:r>
        <w:rPr>
          <w:rFonts w:ascii="Titillium Up" w:hAnsi="Titillium Up" w:cs="Times New Roman"/>
          <w:sz w:val="24"/>
          <w:szCs w:val="24"/>
        </w:rPr>
        <w:t>;</w:t>
      </w:r>
    </w:p>
    <w:p w14:paraId="1D6657F6" w14:textId="77777777" w:rsidR="0012035D" w:rsidRPr="0012035D" w:rsidRDefault="009A64DC" w:rsidP="0012035D">
      <w:pPr>
        <w:pStyle w:val="PreformattatoHTML"/>
        <w:numPr>
          <w:ilvl w:val="0"/>
          <w:numId w:val="44"/>
        </w:numPr>
        <w:tabs>
          <w:tab w:val="clear" w:pos="916"/>
          <w:tab w:val="left" w:pos="284"/>
          <w:tab w:val="left" w:pos="567"/>
          <w:tab w:val="left" w:pos="709"/>
        </w:tabs>
        <w:ind w:left="710"/>
        <w:jc w:val="both"/>
        <w:rPr>
          <w:rFonts w:ascii="Titillium Up" w:hAnsi="Titillium Up" w:cs="Times New Roman"/>
          <w:sz w:val="24"/>
          <w:szCs w:val="24"/>
        </w:rPr>
      </w:pPr>
      <w:r>
        <w:rPr>
          <w:rFonts w:ascii="Titillium Up" w:hAnsi="Titillium Up" w:cs="Times New Roman"/>
          <w:sz w:val="24"/>
          <w:szCs w:val="24"/>
        </w:rPr>
        <w:t>r</w:t>
      </w:r>
      <w:r w:rsidR="0012035D" w:rsidRPr="0012035D">
        <w:rPr>
          <w:rFonts w:ascii="Titillium Up" w:hAnsi="Titillium Up" w:cs="Times New Roman"/>
          <w:sz w:val="24"/>
          <w:szCs w:val="24"/>
        </w:rPr>
        <w:t>ichieste patrimoniali derivanti dalla diffusione impropria di informazioni, dati e/o documentazione riservata.</w:t>
      </w:r>
    </w:p>
    <w:p w14:paraId="7A49483D" w14:textId="77777777" w:rsidR="0012035D" w:rsidRDefault="0012035D" w:rsidP="0012035D">
      <w:pPr>
        <w:pStyle w:val="PreformattatoHTML"/>
        <w:jc w:val="both"/>
        <w:rPr>
          <w:rFonts w:ascii="Times New Roman" w:hAnsi="Times New Roman" w:cs="Times New Roman"/>
          <w:sz w:val="24"/>
          <w:szCs w:val="24"/>
        </w:rPr>
      </w:pPr>
    </w:p>
    <w:p w14:paraId="68653E20" w14:textId="77777777" w:rsidR="0012035D" w:rsidRPr="0012035D" w:rsidRDefault="0012035D" w:rsidP="0012035D">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9" w:name="_Toc373310547"/>
      <w:bookmarkStart w:id="10" w:name="_Toc373313743"/>
      <w:bookmarkStart w:id="11" w:name="_Toc24733988"/>
      <w:r w:rsidRPr="0012035D">
        <w:rPr>
          <w:rFonts w:ascii="Titillium Up" w:hAnsi="Titillium Up" w:cs="Arial"/>
          <w:b/>
          <w:bCs/>
          <w:caps/>
          <w:color w:val="0070C0"/>
          <w:w w:val="94"/>
          <w:sz w:val="28"/>
          <w:szCs w:val="28"/>
        </w:rPr>
        <w:t>2.3  Spese legali</w:t>
      </w:r>
      <w:bookmarkEnd w:id="9"/>
      <w:bookmarkEnd w:id="10"/>
      <w:bookmarkEnd w:id="11"/>
    </w:p>
    <w:p w14:paraId="0F0D361B" w14:textId="77777777" w:rsidR="0012035D" w:rsidRPr="0012035D" w:rsidRDefault="0012035D" w:rsidP="0012035D">
      <w:pPr>
        <w:autoSpaceDE w:val="0"/>
        <w:autoSpaceDN w:val="0"/>
        <w:adjustRightInd w:val="0"/>
        <w:ind w:left="426"/>
        <w:jc w:val="both"/>
        <w:rPr>
          <w:rFonts w:ascii="Titillium Up" w:hAnsi="Titillium Up"/>
          <w:color w:val="000000"/>
          <w:sz w:val="24"/>
          <w:szCs w:val="24"/>
        </w:rPr>
      </w:pPr>
      <w:r w:rsidRPr="0012035D">
        <w:rPr>
          <w:rFonts w:ascii="Titillium Up" w:hAnsi="Titillium Up"/>
          <w:sz w:val="24"/>
          <w:szCs w:val="24"/>
        </w:rPr>
        <w:t xml:space="preserve">La Società assume la gestione delle vertenze in sede civile fino a quando ne ha interesse; ha altresì facoltà di provvedere per la difesa dell’Assicurato in sede penale sino ad esaurimento del </w:t>
      </w:r>
      <w:r w:rsidRPr="0012035D">
        <w:rPr>
          <w:rFonts w:ascii="Titillium Up" w:hAnsi="Titillium Up"/>
          <w:color w:val="000000"/>
          <w:sz w:val="24"/>
          <w:szCs w:val="24"/>
        </w:rPr>
        <w:t>grado di giudizio in corso all’atto della tacitazione dei danneggiati. La Società non riconosce spese per legali o tecnici che non siano da essa designati e non risponde di multe o ammende. Sono escluse le vertenze di lavoro e le azioni a seguito di provvedimenti disciplinari.</w:t>
      </w:r>
    </w:p>
    <w:p w14:paraId="08E1738B" w14:textId="77777777" w:rsidR="0012035D" w:rsidRPr="00DA65EA" w:rsidRDefault="0012035D" w:rsidP="0012035D">
      <w:pPr>
        <w:autoSpaceDE w:val="0"/>
        <w:autoSpaceDN w:val="0"/>
        <w:adjustRightInd w:val="0"/>
        <w:rPr>
          <w:sz w:val="24"/>
          <w:szCs w:val="24"/>
        </w:rPr>
      </w:pPr>
    </w:p>
    <w:p w14:paraId="4C1A44C8" w14:textId="77777777" w:rsidR="0012035D" w:rsidRPr="0012035D" w:rsidRDefault="0012035D" w:rsidP="0012035D">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12" w:name="_Toc373310548"/>
      <w:bookmarkStart w:id="13" w:name="_Toc373313744"/>
      <w:bookmarkStart w:id="14" w:name="_Toc24733989"/>
      <w:r w:rsidRPr="0012035D">
        <w:rPr>
          <w:rFonts w:ascii="Titillium Up" w:hAnsi="Titillium Up" w:cs="Arial"/>
          <w:b/>
          <w:bCs/>
          <w:caps/>
          <w:color w:val="0070C0"/>
          <w:w w:val="94"/>
          <w:sz w:val="28"/>
          <w:szCs w:val="28"/>
        </w:rPr>
        <w:t>2.4  Estensione Territoriale</w:t>
      </w:r>
      <w:bookmarkEnd w:id="12"/>
      <w:bookmarkEnd w:id="13"/>
      <w:bookmarkEnd w:id="14"/>
      <w:r w:rsidRPr="0012035D">
        <w:rPr>
          <w:rFonts w:ascii="Titillium Up" w:hAnsi="Titillium Up" w:cs="Arial"/>
          <w:b/>
          <w:bCs/>
          <w:caps/>
          <w:color w:val="0070C0"/>
          <w:w w:val="94"/>
          <w:sz w:val="28"/>
          <w:szCs w:val="28"/>
        </w:rPr>
        <w:t xml:space="preserve"> </w:t>
      </w:r>
    </w:p>
    <w:p w14:paraId="26CD89B8" w14:textId="77777777" w:rsidR="0012035D" w:rsidRPr="0012035D" w:rsidRDefault="0012035D" w:rsidP="0012035D">
      <w:pPr>
        <w:autoSpaceDE w:val="0"/>
        <w:autoSpaceDN w:val="0"/>
        <w:adjustRightInd w:val="0"/>
        <w:ind w:left="426"/>
        <w:jc w:val="both"/>
        <w:rPr>
          <w:rFonts w:ascii="Titillium Up" w:hAnsi="Titillium Up"/>
          <w:color w:val="000000"/>
          <w:sz w:val="24"/>
          <w:szCs w:val="24"/>
        </w:rPr>
      </w:pPr>
      <w:r w:rsidRPr="0012035D">
        <w:rPr>
          <w:rFonts w:ascii="Titillium Up" w:hAnsi="Titillium Up"/>
          <w:color w:val="000000"/>
          <w:sz w:val="24"/>
          <w:szCs w:val="24"/>
        </w:rPr>
        <w:t>Italia, Repubblica di S. Marino, Stato Città del Vaticano, paesi dell’Unione Europea.</w:t>
      </w:r>
    </w:p>
    <w:p w14:paraId="36292240" w14:textId="77777777" w:rsidR="0012035D" w:rsidRPr="00DA65EA" w:rsidRDefault="0012035D" w:rsidP="0012035D">
      <w:pPr>
        <w:ind w:left="426"/>
        <w:jc w:val="both"/>
        <w:rPr>
          <w:sz w:val="24"/>
          <w:szCs w:val="24"/>
        </w:rPr>
      </w:pPr>
    </w:p>
    <w:p w14:paraId="6313B2E3" w14:textId="77777777" w:rsidR="0012035D" w:rsidRPr="0012035D" w:rsidRDefault="0012035D" w:rsidP="0012035D">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15" w:name="_Toc373310549"/>
      <w:bookmarkStart w:id="16" w:name="_Toc373313745"/>
      <w:bookmarkStart w:id="17" w:name="_Toc24733990"/>
      <w:r w:rsidRPr="0012035D">
        <w:rPr>
          <w:rFonts w:ascii="Titillium Up" w:hAnsi="Titillium Up" w:cs="Arial"/>
          <w:b/>
          <w:bCs/>
          <w:caps/>
          <w:color w:val="0070C0"/>
          <w:w w:val="94"/>
          <w:sz w:val="28"/>
          <w:szCs w:val="28"/>
        </w:rPr>
        <w:t>2.5  Validità della Garanzia</w:t>
      </w:r>
      <w:bookmarkEnd w:id="15"/>
      <w:bookmarkEnd w:id="16"/>
      <w:bookmarkEnd w:id="17"/>
    </w:p>
    <w:p w14:paraId="46F1E5DE" w14:textId="77777777" w:rsidR="00207BC5" w:rsidRPr="0012035D" w:rsidRDefault="00207BC5" w:rsidP="00207BC5">
      <w:pPr>
        <w:autoSpaceDE w:val="0"/>
        <w:autoSpaceDN w:val="0"/>
        <w:adjustRightInd w:val="0"/>
        <w:ind w:left="426"/>
        <w:jc w:val="both"/>
        <w:rPr>
          <w:rFonts w:ascii="Titillium Up" w:hAnsi="Titillium Up"/>
          <w:color w:val="000000"/>
          <w:sz w:val="24"/>
          <w:szCs w:val="24"/>
        </w:rPr>
      </w:pPr>
      <w:r w:rsidRPr="0012035D">
        <w:rPr>
          <w:rFonts w:ascii="Titillium Up" w:hAnsi="Titillium Up"/>
          <w:color w:val="000000"/>
          <w:sz w:val="24"/>
          <w:szCs w:val="24"/>
        </w:rPr>
        <w:t xml:space="preserve">L’assicurazione vale per le richieste di risarcimento pervenute durante il periodo di efficacia dell’assicurazione a condizione che tali richieste diano origine ad un danno non conosciuto a seguito di comportamenti colposi posti in essere non oltre </w:t>
      </w:r>
      <w:r w:rsidRPr="0012035D">
        <w:rPr>
          <w:rFonts w:ascii="Titillium Up" w:hAnsi="Titillium Up"/>
          <w:b/>
          <w:bCs/>
          <w:color w:val="000000"/>
          <w:sz w:val="24"/>
          <w:szCs w:val="24"/>
        </w:rPr>
        <w:t xml:space="preserve">10 anni </w:t>
      </w:r>
      <w:r w:rsidRPr="0012035D">
        <w:rPr>
          <w:rFonts w:ascii="Titillium Up" w:hAnsi="Titillium Up"/>
          <w:color w:val="000000"/>
          <w:sz w:val="24"/>
          <w:szCs w:val="24"/>
        </w:rPr>
        <w:t>a far data dalla data di effetto dei singoli certificati emessi.</w:t>
      </w:r>
      <w:r>
        <w:rPr>
          <w:rFonts w:ascii="Titillium Up" w:hAnsi="Titillium Up"/>
          <w:color w:val="000000"/>
          <w:sz w:val="24"/>
          <w:szCs w:val="24"/>
        </w:rPr>
        <w:t xml:space="preserve"> </w:t>
      </w:r>
      <w:r w:rsidRPr="0012035D">
        <w:rPr>
          <w:rFonts w:ascii="Titillium Up" w:hAnsi="Titillium Up"/>
          <w:color w:val="000000"/>
          <w:sz w:val="24"/>
          <w:szCs w:val="24"/>
        </w:rPr>
        <w:t>Si precisa che la massima esposizione della Compagnia indipendentemente dal numero dei sinistri annui sarà pari ad un massimale di € 5.000.000,00 annui.</w:t>
      </w:r>
      <w:r>
        <w:rPr>
          <w:rFonts w:ascii="Titillium Up" w:hAnsi="Titillium Up"/>
          <w:color w:val="000000"/>
          <w:sz w:val="24"/>
          <w:szCs w:val="24"/>
        </w:rPr>
        <w:t xml:space="preserve"> </w:t>
      </w:r>
      <w:bookmarkStart w:id="18" w:name="_Hlk86249522"/>
      <w:r w:rsidRPr="00A8159B">
        <w:rPr>
          <w:rFonts w:ascii="Titillium Up" w:hAnsi="Titillium Up"/>
          <w:color w:val="000000"/>
          <w:sz w:val="24"/>
          <w:szCs w:val="24"/>
        </w:rPr>
        <w:t>La garanzia è inoltre estesa, qualora l’assicurato rimanga iscritto al Sindacato contraente della polizza, per i sinistri denunciati entro i 12 mesi successivi alla scadenza del contratto ed a condizione che il danno sia avvenuto durante il periodo di validità della polizza.</w:t>
      </w:r>
      <w:bookmarkEnd w:id="18"/>
    </w:p>
    <w:p w14:paraId="0AE5F98F" w14:textId="77777777" w:rsidR="0012035D" w:rsidRPr="00EF0340" w:rsidRDefault="0012035D" w:rsidP="0012035D">
      <w:pPr>
        <w:autoSpaceDE w:val="0"/>
        <w:autoSpaceDN w:val="0"/>
        <w:adjustRightInd w:val="0"/>
        <w:rPr>
          <w:sz w:val="24"/>
          <w:szCs w:val="24"/>
        </w:rPr>
      </w:pPr>
    </w:p>
    <w:p w14:paraId="33A3A14A" w14:textId="77777777" w:rsidR="0012035D" w:rsidRPr="0012035D" w:rsidRDefault="0012035D" w:rsidP="0012035D">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19" w:name="_Toc24733991"/>
      <w:r w:rsidRPr="0012035D">
        <w:rPr>
          <w:rFonts w:ascii="Titillium Up" w:hAnsi="Titillium Up" w:cs="Arial"/>
          <w:b/>
          <w:bCs/>
          <w:caps/>
          <w:color w:val="0070C0"/>
          <w:w w:val="94"/>
          <w:sz w:val="28"/>
          <w:szCs w:val="28"/>
        </w:rPr>
        <w:t>2.6 Obblighi dell’assicurato in caso di sinistro</w:t>
      </w:r>
      <w:bookmarkEnd w:id="19"/>
    </w:p>
    <w:p w14:paraId="276F7285" w14:textId="77777777" w:rsidR="0012035D" w:rsidRPr="0012035D" w:rsidRDefault="0012035D" w:rsidP="0012035D">
      <w:pPr>
        <w:autoSpaceDE w:val="0"/>
        <w:autoSpaceDN w:val="0"/>
        <w:adjustRightInd w:val="0"/>
        <w:ind w:left="360"/>
        <w:jc w:val="both"/>
        <w:rPr>
          <w:rFonts w:ascii="Titillium Up" w:hAnsi="Titillium Up"/>
          <w:sz w:val="24"/>
          <w:szCs w:val="24"/>
        </w:rPr>
      </w:pPr>
      <w:r w:rsidRPr="0012035D">
        <w:rPr>
          <w:rFonts w:ascii="Titillium Up" w:hAnsi="Titillium Up"/>
          <w:sz w:val="24"/>
          <w:szCs w:val="24"/>
        </w:rPr>
        <w:t xml:space="preserve">In caso di sinistro l’assicurato deve inviare alla società di brokeraggio Aminta s.r.l. la denuncia di ciascun sinistro </w:t>
      </w:r>
      <w:r w:rsidRPr="0012035D">
        <w:rPr>
          <w:rFonts w:ascii="Titillium Up" w:hAnsi="Titillium Up"/>
          <w:sz w:val="24"/>
          <w:szCs w:val="24"/>
          <w:u w:val="single"/>
        </w:rPr>
        <w:t>entro 15 giorni</w:t>
      </w:r>
      <w:r w:rsidRPr="0012035D">
        <w:rPr>
          <w:rFonts w:ascii="Titillium Up" w:hAnsi="Titillium Up"/>
          <w:sz w:val="24"/>
          <w:szCs w:val="24"/>
        </w:rPr>
        <w:t xml:space="preserve"> da quello in cui l’Assicurato ha ricevuto la richiesta scritta contenente la motivazione dell’addebito notificato. (Allegato disponibile sul sito </w:t>
      </w:r>
      <w:r w:rsidRPr="0012035D">
        <w:rPr>
          <w:rFonts w:ascii="Titillium Up" w:hAnsi="Titillium Up"/>
          <w:b/>
          <w:bCs/>
          <w:sz w:val="24"/>
          <w:szCs w:val="24"/>
        </w:rPr>
        <w:t>www.amintaunitasindacale.com</w:t>
      </w:r>
      <w:r w:rsidRPr="0012035D">
        <w:rPr>
          <w:rFonts w:ascii="Titillium Up" w:hAnsi="Titillium Up"/>
          <w:sz w:val="24"/>
          <w:szCs w:val="24"/>
        </w:rPr>
        <w:t xml:space="preserve">, </w:t>
      </w:r>
      <w:r w:rsidRPr="0012035D">
        <w:rPr>
          <w:rFonts w:ascii="Titillium Up" w:hAnsi="Titillium Up"/>
          <w:sz w:val="24"/>
          <w:szCs w:val="24"/>
        </w:rPr>
        <w:lastRenderedPageBreak/>
        <w:t xml:space="preserve">“Convenzione UNITA’ SINDACALE” modulo “Denuncia Sinistri”). Inviare la documentazione cartacea </w:t>
      </w:r>
      <w:r w:rsidRPr="0012035D">
        <w:rPr>
          <w:rFonts w:ascii="Titillium Up" w:hAnsi="Titillium Up"/>
          <w:sz w:val="24"/>
          <w:szCs w:val="24"/>
          <w:u w:val="single"/>
        </w:rPr>
        <w:t>in originale</w:t>
      </w:r>
      <w:r w:rsidRPr="0012035D">
        <w:rPr>
          <w:rFonts w:ascii="Titillium Up" w:hAnsi="Titillium Up"/>
          <w:sz w:val="24"/>
          <w:szCs w:val="24"/>
        </w:rPr>
        <w:t xml:space="preserve"> a:</w:t>
      </w:r>
    </w:p>
    <w:p w14:paraId="79891B99" w14:textId="77777777" w:rsidR="0012035D" w:rsidRPr="0012035D" w:rsidRDefault="0012035D" w:rsidP="0012035D">
      <w:pPr>
        <w:autoSpaceDE w:val="0"/>
        <w:autoSpaceDN w:val="0"/>
        <w:adjustRightInd w:val="0"/>
        <w:ind w:left="360"/>
        <w:jc w:val="both"/>
        <w:rPr>
          <w:rFonts w:ascii="Titillium Up" w:hAnsi="Titillium Up"/>
          <w:sz w:val="24"/>
          <w:szCs w:val="24"/>
        </w:rPr>
      </w:pPr>
      <w:r w:rsidRPr="0012035D">
        <w:rPr>
          <w:rFonts w:ascii="Titillium Up" w:hAnsi="Titillium Up"/>
          <w:b/>
          <w:sz w:val="24"/>
          <w:szCs w:val="24"/>
        </w:rPr>
        <w:t xml:space="preserve">Aminta S.r.l. - Corso Correnti 58/A - 10136 - Torino </w:t>
      </w:r>
      <w:r w:rsidRPr="0012035D">
        <w:rPr>
          <w:rFonts w:ascii="Titillium Up" w:hAnsi="Titillium Up"/>
          <w:sz w:val="24"/>
          <w:szCs w:val="24"/>
        </w:rPr>
        <w:t xml:space="preserve">indicando sulla busta </w:t>
      </w:r>
      <w:r w:rsidRPr="0012035D">
        <w:rPr>
          <w:rFonts w:ascii="Titillium Up" w:hAnsi="Titillium Up"/>
          <w:b/>
          <w:sz w:val="24"/>
          <w:szCs w:val="24"/>
        </w:rPr>
        <w:t>“Convenzione UNITA’ SINDACALE”</w:t>
      </w:r>
      <w:r w:rsidRPr="0012035D">
        <w:rPr>
          <w:rFonts w:ascii="Titillium Up" w:hAnsi="Titillium Up"/>
          <w:sz w:val="24"/>
          <w:szCs w:val="24"/>
        </w:rPr>
        <w:t xml:space="preserve">. La Società assicuratrice, una volta terminata la parte di accertamento del sinistro, mette a disposizione dell’Assicurato e/o Istituto di Credito l’importo determinato entro il limite del massimale convenuto, dedotta la franchigia e gli scoperti previsti in polizza, senza emissione di alcuna quietanza. Con la riscossione dello stesso da parte dell’Assicurato, </w:t>
      </w:r>
      <w:smartTag w:uri="urn:schemas-microsoft-com:office:smarttags" w:element="PersonName">
        <w:smartTagPr>
          <w:attr w:name="ProductID" w:val="La Societ￠"/>
        </w:smartTagPr>
        <w:r w:rsidRPr="0012035D">
          <w:rPr>
            <w:rFonts w:ascii="Titillium Up" w:hAnsi="Titillium Up"/>
            <w:sz w:val="24"/>
            <w:szCs w:val="24"/>
          </w:rPr>
          <w:t>la Società</w:t>
        </w:r>
      </w:smartTag>
      <w:r w:rsidRPr="0012035D">
        <w:rPr>
          <w:rFonts w:ascii="Titillium Up" w:hAnsi="Titillium Up"/>
          <w:sz w:val="24"/>
          <w:szCs w:val="24"/>
        </w:rPr>
        <w:t xml:space="preserve"> esaurisce ogni suo obbligo in dipendenza del sinistro stesso.</w:t>
      </w:r>
    </w:p>
    <w:p w14:paraId="1BF4C122" w14:textId="77777777" w:rsidR="0012035D" w:rsidRPr="0012035D" w:rsidRDefault="0012035D" w:rsidP="0012035D">
      <w:pPr>
        <w:autoSpaceDE w:val="0"/>
        <w:autoSpaceDN w:val="0"/>
        <w:adjustRightInd w:val="0"/>
        <w:ind w:left="360"/>
        <w:jc w:val="both"/>
        <w:rPr>
          <w:rFonts w:ascii="Titillium Up" w:hAnsi="Titillium Up"/>
          <w:sz w:val="24"/>
          <w:szCs w:val="24"/>
        </w:rPr>
      </w:pPr>
      <w:r w:rsidRPr="0012035D">
        <w:rPr>
          <w:rFonts w:ascii="Titillium Up" w:hAnsi="Titillium Up"/>
          <w:sz w:val="24"/>
          <w:szCs w:val="24"/>
        </w:rPr>
        <w:t>Nel caso di terzi responsabili, il pagamento del sinistro avverrà dopo che l’Istituto di Credito stesso abbia esperito un procedimento esecutivo contro il terzo responsabile.</w:t>
      </w:r>
    </w:p>
    <w:p w14:paraId="17A1F545" w14:textId="77777777" w:rsidR="0012035D" w:rsidRPr="0012035D" w:rsidRDefault="0012035D" w:rsidP="0012035D">
      <w:pPr>
        <w:autoSpaceDE w:val="0"/>
        <w:autoSpaceDN w:val="0"/>
        <w:adjustRightInd w:val="0"/>
        <w:ind w:left="360"/>
        <w:jc w:val="both"/>
        <w:rPr>
          <w:rFonts w:ascii="Titillium Up" w:hAnsi="Titillium Up"/>
          <w:sz w:val="24"/>
          <w:szCs w:val="24"/>
        </w:rPr>
      </w:pPr>
      <w:r w:rsidRPr="0012035D">
        <w:rPr>
          <w:rFonts w:ascii="Titillium Up" w:hAnsi="Titillium Up"/>
          <w:sz w:val="24"/>
          <w:szCs w:val="24"/>
        </w:rPr>
        <w:t>Nel caso di opposizione di questo ultimo, il pagamento avverrà dopo il passaggio in giudicato della sentenza che riconosce totalmente, o parzialmente, infondata l’opposizione stessa.</w:t>
      </w:r>
    </w:p>
    <w:p w14:paraId="3B4B0938" w14:textId="77777777" w:rsidR="0012035D" w:rsidRPr="0012035D" w:rsidRDefault="0012035D" w:rsidP="0012035D">
      <w:pPr>
        <w:autoSpaceDE w:val="0"/>
        <w:autoSpaceDN w:val="0"/>
        <w:adjustRightInd w:val="0"/>
        <w:ind w:left="360"/>
        <w:jc w:val="both"/>
        <w:rPr>
          <w:rFonts w:ascii="Titillium Up" w:hAnsi="Titillium Up"/>
          <w:sz w:val="24"/>
          <w:szCs w:val="24"/>
        </w:rPr>
      </w:pPr>
      <w:r w:rsidRPr="0012035D">
        <w:rPr>
          <w:rFonts w:ascii="Titillium Up" w:hAnsi="Titillium Up"/>
          <w:sz w:val="24"/>
          <w:szCs w:val="24"/>
        </w:rPr>
        <w:t>La Società, prima del pagamento del sinistro, ha facoltà di chiedere il rapporto ispettivo redatto dall’Istituto di Credito e di raccogliere tutte le informazioni ritenute necessarie.</w:t>
      </w:r>
    </w:p>
    <w:p w14:paraId="48AD892D" w14:textId="77777777" w:rsidR="0012035D" w:rsidRPr="0012035D" w:rsidRDefault="0012035D" w:rsidP="0012035D">
      <w:pPr>
        <w:ind w:left="360"/>
        <w:jc w:val="both"/>
        <w:rPr>
          <w:rFonts w:ascii="Titillium Up" w:hAnsi="Titillium Up"/>
          <w:color w:val="000000"/>
          <w:sz w:val="24"/>
          <w:szCs w:val="24"/>
        </w:rPr>
      </w:pPr>
      <w:r w:rsidRPr="0012035D">
        <w:rPr>
          <w:rFonts w:ascii="Titillium Up" w:hAnsi="Titillium Up"/>
          <w:color w:val="000000"/>
          <w:sz w:val="24"/>
          <w:szCs w:val="24"/>
        </w:rPr>
        <w:t>L'Assicurato è tenuto a rendere tutte le informazioni e l'assistenza del caso, in particolare:</w:t>
      </w:r>
    </w:p>
    <w:p w14:paraId="44746966" w14:textId="77777777" w:rsidR="0012035D" w:rsidRPr="0012035D" w:rsidRDefault="0012035D" w:rsidP="0012035D">
      <w:pPr>
        <w:pStyle w:val="Corpodeltesto21"/>
        <w:numPr>
          <w:ilvl w:val="0"/>
          <w:numId w:val="45"/>
        </w:numPr>
        <w:tabs>
          <w:tab w:val="left" w:pos="360"/>
        </w:tabs>
        <w:overflowPunct/>
        <w:autoSpaceDE/>
        <w:autoSpaceDN/>
        <w:adjustRightInd/>
        <w:textAlignment w:val="auto"/>
        <w:rPr>
          <w:rFonts w:ascii="Titillium Up" w:hAnsi="Titillium Up"/>
          <w:color w:val="000000"/>
          <w:szCs w:val="24"/>
        </w:rPr>
      </w:pPr>
      <w:r w:rsidRPr="0012035D">
        <w:rPr>
          <w:rFonts w:ascii="Titillium Up" w:hAnsi="Titillium Up"/>
          <w:color w:val="000000"/>
          <w:szCs w:val="24"/>
        </w:rPr>
        <w:t>La denuncia in forma scritta dovrà contenere tutti gli elementi disponibili utili alla comprensione ed individuazione dell’evento.</w:t>
      </w:r>
    </w:p>
    <w:p w14:paraId="40FC5708" w14:textId="77777777" w:rsidR="0012035D" w:rsidRPr="0012035D" w:rsidRDefault="0012035D" w:rsidP="0012035D">
      <w:pPr>
        <w:pStyle w:val="Corpodeltesto21"/>
        <w:numPr>
          <w:ilvl w:val="0"/>
          <w:numId w:val="45"/>
        </w:numPr>
        <w:tabs>
          <w:tab w:val="left" w:pos="360"/>
        </w:tabs>
        <w:overflowPunct/>
        <w:autoSpaceDE/>
        <w:autoSpaceDN/>
        <w:adjustRightInd/>
        <w:textAlignment w:val="auto"/>
        <w:rPr>
          <w:rFonts w:ascii="Titillium Up" w:hAnsi="Titillium Up"/>
          <w:szCs w:val="24"/>
        </w:rPr>
      </w:pPr>
      <w:r w:rsidRPr="0012035D">
        <w:rPr>
          <w:rFonts w:ascii="Titillium Up" w:hAnsi="Titillium Up"/>
          <w:szCs w:val="24"/>
        </w:rPr>
        <w:t xml:space="preserve">L’Assicurato è tenuto a trasmettere </w:t>
      </w:r>
      <w:r w:rsidRPr="0012035D">
        <w:rPr>
          <w:rFonts w:ascii="Titillium Up" w:hAnsi="Titillium Up"/>
          <w:szCs w:val="24"/>
          <w:u w:val="single"/>
        </w:rPr>
        <w:t>entro 15 giorni</w:t>
      </w:r>
      <w:r w:rsidRPr="0012035D">
        <w:rPr>
          <w:rFonts w:ascii="Titillium Up" w:hAnsi="Titillium Up"/>
          <w:szCs w:val="24"/>
        </w:rPr>
        <w:t xml:space="preserve"> dal loro ricevimento tutti i documenti giudiziali e le altre comunicazioni inerenti il sinistro.</w:t>
      </w:r>
    </w:p>
    <w:p w14:paraId="2BA393BE" w14:textId="77777777" w:rsidR="0012035D" w:rsidRPr="0012035D" w:rsidRDefault="0012035D" w:rsidP="0012035D">
      <w:pPr>
        <w:ind w:left="360"/>
        <w:jc w:val="both"/>
        <w:rPr>
          <w:rFonts w:ascii="Titillium Up" w:hAnsi="Titillium Up"/>
          <w:sz w:val="24"/>
          <w:szCs w:val="24"/>
        </w:rPr>
      </w:pPr>
      <w:r w:rsidRPr="0012035D">
        <w:rPr>
          <w:rFonts w:ascii="Titillium Up" w:hAnsi="Titillium Up"/>
          <w:sz w:val="24"/>
          <w:szCs w:val="24"/>
        </w:rPr>
        <w:t xml:space="preserve">L’inosservanza degli obblighi suddetti </w:t>
      </w:r>
      <w:r w:rsidRPr="0012035D">
        <w:rPr>
          <w:rFonts w:ascii="Titillium Up" w:hAnsi="Titillium Up"/>
          <w:sz w:val="24"/>
          <w:szCs w:val="24"/>
          <w:u w:val="single"/>
        </w:rPr>
        <w:t>può essere causa di reiezione della richiesta di indennizzo e di inapplicabilità del disposto contrattuale</w:t>
      </w:r>
      <w:r w:rsidRPr="0012035D">
        <w:rPr>
          <w:rFonts w:ascii="Titillium Up" w:hAnsi="Titillium Up"/>
          <w:sz w:val="24"/>
          <w:szCs w:val="24"/>
        </w:rPr>
        <w:t>; negli altri casi comporta la riduzione dell’indennizzo in ragione del pregiudizio sofferto dalla Compagnia. Più in generale, l'Assicurato che esagera dolosamente l'ammontare del danno, dichiara fatti o circostanze non rispondenti al vero, produce documenti falsi, occulta prove, ovvero promuove o facilita le pretese di terzi, perde il diritto ad ogni indennizzo.</w:t>
      </w:r>
    </w:p>
    <w:p w14:paraId="3D679E97" w14:textId="77777777" w:rsidR="002A742E" w:rsidRDefault="002A742E" w:rsidP="00F05BEF">
      <w:pPr>
        <w:ind w:left="360"/>
        <w:jc w:val="both"/>
        <w:rPr>
          <w:rFonts w:ascii="Arial" w:hAnsi="Arial"/>
          <w:sz w:val="24"/>
          <w:szCs w:val="24"/>
        </w:rPr>
      </w:pPr>
    </w:p>
    <w:p w14:paraId="4B3BD408" w14:textId="77777777" w:rsidR="00E06399" w:rsidRDefault="00E06399" w:rsidP="00F05BEF">
      <w:pPr>
        <w:ind w:left="360"/>
        <w:jc w:val="both"/>
        <w:rPr>
          <w:rFonts w:ascii="Arial" w:hAnsi="Arial"/>
          <w:sz w:val="24"/>
          <w:szCs w:val="24"/>
        </w:rPr>
      </w:pPr>
    </w:p>
    <w:p w14:paraId="51421431" w14:textId="77777777" w:rsidR="00F05BEF" w:rsidRPr="009857C8" w:rsidRDefault="00F05BEF" w:rsidP="009857C8">
      <w:pPr>
        <w:pStyle w:val="Paragrafoelenco"/>
        <w:widowControl w:val="0"/>
        <w:numPr>
          <w:ilvl w:val="0"/>
          <w:numId w:val="33"/>
        </w:numPr>
        <w:suppressAutoHyphens/>
        <w:autoSpaceDE w:val="0"/>
        <w:autoSpaceDN w:val="0"/>
        <w:adjustRightInd w:val="0"/>
        <w:spacing w:after="0" w:line="240" w:lineRule="auto"/>
        <w:ind w:left="284"/>
        <w:jc w:val="both"/>
        <w:textAlignment w:val="center"/>
        <w:rPr>
          <w:rFonts w:ascii="Titillium Up" w:eastAsia="Times New Roman" w:hAnsi="Titillium Up" w:cs="Arial"/>
          <w:b/>
          <w:color w:val="0070C0"/>
          <w:sz w:val="34"/>
          <w:szCs w:val="34"/>
          <w:u w:val="single"/>
          <w:lang w:eastAsia="it-IT"/>
        </w:rPr>
      </w:pPr>
      <w:bookmarkStart w:id="20" w:name="_Toc373060638"/>
      <w:bookmarkStart w:id="21" w:name="_Toc373394641"/>
      <w:bookmarkStart w:id="22" w:name="_Toc373398564"/>
      <w:bookmarkStart w:id="23" w:name="_Toc531101124"/>
      <w:bookmarkEnd w:id="1"/>
      <w:bookmarkEnd w:id="2"/>
      <w:r w:rsidRPr="009857C8">
        <w:rPr>
          <w:rFonts w:ascii="Titillium Up" w:eastAsia="Times New Roman" w:hAnsi="Titillium Up" w:cs="Arial"/>
          <w:b/>
          <w:color w:val="0070C0"/>
          <w:sz w:val="34"/>
          <w:szCs w:val="34"/>
          <w:u w:val="single"/>
          <w:lang w:eastAsia="it-IT"/>
        </w:rPr>
        <w:t>R.C. FAMIGLIA</w:t>
      </w:r>
      <w:bookmarkEnd w:id="20"/>
      <w:bookmarkEnd w:id="21"/>
      <w:bookmarkEnd w:id="22"/>
      <w:bookmarkEnd w:id="23"/>
    </w:p>
    <w:p w14:paraId="6F0D7B1B" w14:textId="77777777" w:rsidR="00E06399" w:rsidRDefault="00E06399"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24" w:name="_Toc373060639"/>
      <w:bookmarkStart w:id="25" w:name="_Toc373394642"/>
      <w:bookmarkStart w:id="26" w:name="_Toc373398565"/>
      <w:bookmarkStart w:id="27" w:name="_Toc531101125"/>
    </w:p>
    <w:p w14:paraId="7338BCCE" w14:textId="77777777" w:rsidR="00F05BEF" w:rsidRPr="00512EF9" w:rsidRDefault="0012035D"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r>
        <w:rPr>
          <w:rFonts w:ascii="Titillium Up" w:hAnsi="Titillium Up" w:cs="Arial"/>
          <w:b/>
          <w:bCs/>
          <w:caps/>
          <w:color w:val="0070C0"/>
          <w:w w:val="94"/>
          <w:sz w:val="28"/>
          <w:szCs w:val="28"/>
        </w:rPr>
        <w:t>3</w:t>
      </w:r>
      <w:r w:rsidR="00F05BEF" w:rsidRPr="00512EF9">
        <w:rPr>
          <w:rFonts w:ascii="Titillium Up" w:hAnsi="Titillium Up" w:cs="Arial"/>
          <w:b/>
          <w:bCs/>
          <w:caps/>
          <w:color w:val="0070C0"/>
          <w:w w:val="94"/>
          <w:sz w:val="28"/>
          <w:szCs w:val="28"/>
        </w:rPr>
        <w:t>.1  Oggetto dell’assicurazione</w:t>
      </w:r>
      <w:bookmarkEnd w:id="24"/>
      <w:bookmarkEnd w:id="25"/>
      <w:bookmarkEnd w:id="26"/>
      <w:bookmarkEnd w:id="27"/>
    </w:p>
    <w:p w14:paraId="62B030BB" w14:textId="77777777" w:rsidR="00F05BEF" w:rsidRPr="00804A17" w:rsidRDefault="00F05BEF" w:rsidP="00F05BEF">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sz w:val="24"/>
          <w:szCs w:val="24"/>
        </w:rPr>
        <w:t>La garanzia opera per la responsabilità civile dell’iscritto e del suo nucleo famigliare per i fatti verificatisi nell’ambito della sua vita privata, dalla pratica di sport in genere ( escluse le competizioni agonistiche e gli sport pericolosi), derivanti dalla conduzione di locali adibiti esclusivamente</w:t>
      </w:r>
      <w:r w:rsidRPr="00804A17">
        <w:rPr>
          <w:rFonts w:ascii="Titillium Up" w:hAnsi="Titillium Up"/>
          <w:bCs/>
          <w:iCs/>
          <w:sz w:val="24"/>
          <w:szCs w:val="24"/>
        </w:rPr>
        <w:t xml:space="preserve"> a civile abitazione in cui l’iscritto e il suo nucleo familiare dimora abitualmente o saltuariamente nonché da proprietà o uso di apparecchi domestici (comprese antenne radiotelevisive) e dell’arredamento. Sono compresi i lavori di ordinaria manutenzione </w:t>
      </w:r>
      <w:proofErr w:type="spellStart"/>
      <w:r w:rsidRPr="00804A17">
        <w:rPr>
          <w:rFonts w:ascii="Titillium Up" w:hAnsi="Titillium Up"/>
          <w:bCs/>
          <w:iCs/>
          <w:sz w:val="24"/>
          <w:szCs w:val="24"/>
        </w:rPr>
        <w:t>purchè</w:t>
      </w:r>
      <w:proofErr w:type="spellEnd"/>
      <w:r w:rsidRPr="00804A17">
        <w:rPr>
          <w:rFonts w:ascii="Titillium Up" w:hAnsi="Titillium Up"/>
          <w:bCs/>
          <w:iCs/>
          <w:sz w:val="24"/>
          <w:szCs w:val="24"/>
        </w:rPr>
        <w:t xml:space="preserve"> effettuati da ditte in regola per l’esecuzione dei lavori effettuati. Sono compresi i danni causati da proprietà, possesso, di animali domestici con un limite di indennizzo pari a € 5.000,00 e una franchigia fissa di € 500,00 a carico dell’assicurato. La garanzia opera anche per la responsabilità derivante dalla proprietà di parchi, giardini alberi e aree scoperte impianti sportivi, garage </w:t>
      </w:r>
      <w:proofErr w:type="spellStart"/>
      <w:r w:rsidRPr="00804A17">
        <w:rPr>
          <w:rFonts w:ascii="Titillium Up" w:hAnsi="Titillium Up"/>
          <w:bCs/>
          <w:iCs/>
          <w:sz w:val="24"/>
          <w:szCs w:val="24"/>
        </w:rPr>
        <w:t>purchè</w:t>
      </w:r>
      <w:proofErr w:type="spellEnd"/>
      <w:r w:rsidRPr="00804A17">
        <w:rPr>
          <w:rFonts w:ascii="Titillium Up" w:hAnsi="Titillium Up"/>
          <w:bCs/>
          <w:iCs/>
          <w:sz w:val="24"/>
          <w:szCs w:val="24"/>
        </w:rPr>
        <w:t xml:space="preserve"> di pertinenza del fabbricato. Sono compresi i danni causati a cose di terzi da incendio esplosione o scoppio del fabbricato con un limite di indennizzo di € 25.000,00 per anno assicurativo. Relativamente ai danni derivanti da spargimento d’acqua conseguente a occlusione o rottura accidentale di tubazioni la garanzia è prestata con un limite di indennizzo per sinistro pari a € 10.000,00 uno scoperto pari al 10% del danno e una franchigia di € 500,00 per ogni sinistro.</w:t>
      </w:r>
    </w:p>
    <w:p w14:paraId="1C4A668E" w14:textId="77777777" w:rsidR="00603D2F" w:rsidRPr="005028E9" w:rsidRDefault="00603D2F" w:rsidP="00F05BEF">
      <w:pPr>
        <w:autoSpaceDE w:val="0"/>
        <w:autoSpaceDN w:val="0"/>
        <w:adjustRightInd w:val="0"/>
        <w:jc w:val="both"/>
        <w:rPr>
          <w:rFonts w:ascii="Arial" w:hAnsi="Arial"/>
          <w:bCs/>
          <w:iCs/>
          <w:sz w:val="24"/>
          <w:szCs w:val="24"/>
          <w:u w:val="single"/>
        </w:rPr>
      </w:pPr>
    </w:p>
    <w:p w14:paraId="6D4D0949" w14:textId="77777777" w:rsidR="00F05BEF" w:rsidRPr="00512EF9" w:rsidRDefault="0012035D"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28" w:name="_Toc373060640"/>
      <w:bookmarkStart w:id="29" w:name="_Toc373394643"/>
      <w:bookmarkStart w:id="30" w:name="_Toc373398566"/>
      <w:bookmarkStart w:id="31" w:name="_Toc531101126"/>
      <w:r>
        <w:rPr>
          <w:rFonts w:ascii="Titillium Up" w:hAnsi="Titillium Up" w:cs="Arial"/>
          <w:b/>
          <w:bCs/>
          <w:caps/>
          <w:color w:val="0070C0"/>
          <w:w w:val="94"/>
          <w:sz w:val="28"/>
          <w:szCs w:val="28"/>
        </w:rPr>
        <w:t>3</w:t>
      </w:r>
      <w:r w:rsidR="00F05BEF" w:rsidRPr="00512EF9">
        <w:rPr>
          <w:rFonts w:ascii="Titillium Up" w:hAnsi="Titillium Up" w:cs="Arial"/>
          <w:b/>
          <w:bCs/>
          <w:caps/>
          <w:color w:val="0070C0"/>
          <w:w w:val="94"/>
          <w:sz w:val="28"/>
          <w:szCs w:val="28"/>
        </w:rPr>
        <w:t>.2  Massimale</w:t>
      </w:r>
      <w:bookmarkEnd w:id="28"/>
      <w:bookmarkEnd w:id="29"/>
      <w:bookmarkEnd w:id="30"/>
      <w:bookmarkEnd w:id="31"/>
    </w:p>
    <w:p w14:paraId="3F6A1C19"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lastRenderedPageBreak/>
        <w:t xml:space="preserve">La garanzia è prestata con massimale di </w:t>
      </w:r>
      <w:r w:rsidRPr="00804A17">
        <w:rPr>
          <w:rFonts w:ascii="Titillium Up" w:hAnsi="Titillium Up"/>
          <w:b/>
          <w:iCs/>
          <w:sz w:val="24"/>
          <w:szCs w:val="24"/>
        </w:rPr>
        <w:t>€ 250.000,00</w:t>
      </w:r>
      <w:r w:rsidRPr="00804A17">
        <w:rPr>
          <w:rFonts w:ascii="Titillium Up" w:hAnsi="Titillium Up"/>
          <w:bCs/>
          <w:iCs/>
          <w:sz w:val="24"/>
          <w:szCs w:val="24"/>
        </w:rPr>
        <w:t xml:space="preserve"> con un limite di indennizzo € 50.000,00 per sinistro e uno scoperto pari al 10% del danno e una franchigia fissa di € 250,00.</w:t>
      </w:r>
    </w:p>
    <w:p w14:paraId="64C4B82E" w14:textId="77777777" w:rsidR="00F05BEF" w:rsidRPr="005028E9" w:rsidRDefault="00F05BEF" w:rsidP="00F05BEF">
      <w:pPr>
        <w:autoSpaceDE w:val="0"/>
        <w:autoSpaceDN w:val="0"/>
        <w:adjustRightInd w:val="0"/>
        <w:jc w:val="both"/>
        <w:rPr>
          <w:rFonts w:ascii="Arial" w:hAnsi="Arial"/>
          <w:sz w:val="24"/>
          <w:szCs w:val="24"/>
          <w:u w:val="single"/>
        </w:rPr>
      </w:pPr>
    </w:p>
    <w:p w14:paraId="69DAB964" w14:textId="77777777" w:rsidR="00F05BEF" w:rsidRPr="00512EF9" w:rsidRDefault="0012035D"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32" w:name="_Toc373060641"/>
      <w:bookmarkStart w:id="33" w:name="_Toc373394644"/>
      <w:bookmarkStart w:id="34" w:name="_Toc373398567"/>
      <w:bookmarkStart w:id="35" w:name="_Toc531101127"/>
      <w:r>
        <w:rPr>
          <w:rFonts w:ascii="Titillium Up" w:hAnsi="Titillium Up" w:cs="Arial"/>
          <w:b/>
          <w:bCs/>
          <w:caps/>
          <w:color w:val="0070C0"/>
          <w:w w:val="94"/>
          <w:sz w:val="28"/>
          <w:szCs w:val="28"/>
        </w:rPr>
        <w:t>3</w:t>
      </w:r>
      <w:r w:rsidR="00F05BEF" w:rsidRPr="00512EF9">
        <w:rPr>
          <w:rFonts w:ascii="Titillium Up" w:hAnsi="Titillium Up" w:cs="Arial"/>
          <w:b/>
          <w:bCs/>
          <w:caps/>
          <w:color w:val="0070C0"/>
          <w:w w:val="94"/>
          <w:sz w:val="28"/>
          <w:szCs w:val="28"/>
        </w:rPr>
        <w:t>.3  Delimitazioni</w:t>
      </w:r>
      <w:bookmarkEnd w:id="32"/>
      <w:bookmarkEnd w:id="33"/>
      <w:bookmarkEnd w:id="34"/>
      <w:bookmarkEnd w:id="35"/>
    </w:p>
    <w:p w14:paraId="070714C3"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 xml:space="preserve">Persone non considerate terzi: L’assicurato, il coniuge o il convivente, i genitori, i figli, nonché qualsiasi altro parente od affine. </w:t>
      </w:r>
    </w:p>
    <w:p w14:paraId="35B431BD" w14:textId="77777777" w:rsidR="00F05BEF" w:rsidRPr="005028E9" w:rsidRDefault="00F05BEF" w:rsidP="00F05BEF">
      <w:pPr>
        <w:autoSpaceDE w:val="0"/>
        <w:autoSpaceDN w:val="0"/>
        <w:adjustRightInd w:val="0"/>
        <w:jc w:val="both"/>
        <w:rPr>
          <w:rFonts w:ascii="Arial" w:hAnsi="Arial"/>
          <w:sz w:val="24"/>
          <w:szCs w:val="24"/>
        </w:rPr>
      </w:pPr>
    </w:p>
    <w:p w14:paraId="5CE502A4" w14:textId="77777777" w:rsidR="00F05BEF" w:rsidRPr="00512EF9" w:rsidRDefault="0012035D"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36" w:name="_Toc373060642"/>
      <w:bookmarkStart w:id="37" w:name="_Toc373394645"/>
      <w:bookmarkStart w:id="38" w:name="_Toc373398568"/>
      <w:bookmarkStart w:id="39" w:name="_Toc531101128"/>
      <w:r>
        <w:rPr>
          <w:rFonts w:ascii="Titillium Up" w:hAnsi="Titillium Up" w:cs="Arial"/>
          <w:b/>
          <w:bCs/>
          <w:caps/>
          <w:color w:val="0070C0"/>
          <w:w w:val="94"/>
          <w:sz w:val="28"/>
          <w:szCs w:val="28"/>
        </w:rPr>
        <w:t>3</w:t>
      </w:r>
      <w:r w:rsidR="00F05BEF" w:rsidRPr="00512EF9">
        <w:rPr>
          <w:rFonts w:ascii="Titillium Up" w:hAnsi="Titillium Up" w:cs="Arial"/>
          <w:b/>
          <w:bCs/>
          <w:caps/>
          <w:color w:val="0070C0"/>
          <w:w w:val="94"/>
          <w:sz w:val="28"/>
          <w:szCs w:val="28"/>
        </w:rPr>
        <w:t>.4  Esclusioni</w:t>
      </w:r>
      <w:bookmarkEnd w:id="36"/>
      <w:bookmarkEnd w:id="37"/>
      <w:bookmarkEnd w:id="38"/>
      <w:bookmarkEnd w:id="39"/>
    </w:p>
    <w:p w14:paraId="58A32565"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 xml:space="preserve">L'assicurazione non comprende i danni: </w:t>
      </w:r>
    </w:p>
    <w:p w14:paraId="05DE690A" w14:textId="77777777" w:rsidR="0012035D" w:rsidRPr="0012035D" w:rsidRDefault="0012035D" w:rsidP="0012035D">
      <w:pPr>
        <w:numPr>
          <w:ilvl w:val="0"/>
          <w:numId w:val="41"/>
        </w:numPr>
        <w:tabs>
          <w:tab w:val="left" w:pos="426"/>
        </w:tabs>
        <w:autoSpaceDE w:val="0"/>
        <w:autoSpaceDN w:val="0"/>
        <w:adjustRightInd w:val="0"/>
        <w:ind w:left="851"/>
        <w:jc w:val="both"/>
        <w:rPr>
          <w:rFonts w:ascii="Titillium Up" w:hAnsi="Titillium Up"/>
          <w:bCs/>
          <w:iCs/>
          <w:sz w:val="24"/>
          <w:szCs w:val="24"/>
        </w:rPr>
      </w:pPr>
      <w:r w:rsidRPr="0012035D">
        <w:rPr>
          <w:rFonts w:ascii="Titillium Up" w:hAnsi="Titillium Up"/>
          <w:bCs/>
          <w:iCs/>
          <w:sz w:val="24"/>
          <w:szCs w:val="24"/>
        </w:rPr>
        <w:t>causati con dolo o colpa grave</w:t>
      </w:r>
      <w:r>
        <w:rPr>
          <w:rFonts w:ascii="Titillium Up" w:hAnsi="Titillium Up"/>
          <w:bCs/>
          <w:iCs/>
          <w:sz w:val="24"/>
          <w:szCs w:val="24"/>
        </w:rPr>
        <w:t>;</w:t>
      </w:r>
    </w:p>
    <w:p w14:paraId="407053D7" w14:textId="77777777" w:rsidR="00F05BEF" w:rsidRPr="0012035D" w:rsidRDefault="0012035D" w:rsidP="0012035D">
      <w:pPr>
        <w:numPr>
          <w:ilvl w:val="0"/>
          <w:numId w:val="41"/>
        </w:numPr>
        <w:tabs>
          <w:tab w:val="left" w:pos="426"/>
        </w:tabs>
        <w:autoSpaceDE w:val="0"/>
        <w:autoSpaceDN w:val="0"/>
        <w:adjustRightInd w:val="0"/>
        <w:ind w:left="851"/>
        <w:jc w:val="both"/>
        <w:rPr>
          <w:rFonts w:ascii="Titillium Up" w:hAnsi="Titillium Up"/>
          <w:bCs/>
          <w:iCs/>
          <w:sz w:val="24"/>
          <w:szCs w:val="24"/>
        </w:rPr>
      </w:pPr>
      <w:r w:rsidRPr="0012035D">
        <w:rPr>
          <w:rFonts w:ascii="Titillium Up" w:hAnsi="Titillium Up"/>
          <w:bCs/>
          <w:iCs/>
          <w:sz w:val="24"/>
          <w:szCs w:val="24"/>
        </w:rPr>
        <w:t>derivanti dall'esercizio di attività professionali, industriali, commerciali, agricole, artigianali</w:t>
      </w:r>
      <w:r w:rsidR="00F05BEF" w:rsidRPr="0012035D">
        <w:rPr>
          <w:rFonts w:ascii="Titillium Up" w:hAnsi="Titillium Up"/>
          <w:bCs/>
          <w:iCs/>
          <w:sz w:val="24"/>
          <w:szCs w:val="24"/>
        </w:rPr>
        <w:t>;</w:t>
      </w:r>
    </w:p>
    <w:p w14:paraId="304D2337" w14:textId="77777777" w:rsidR="00F05BEF" w:rsidRPr="00804A17" w:rsidRDefault="00F05BEF" w:rsidP="00D04AFA">
      <w:pPr>
        <w:numPr>
          <w:ilvl w:val="0"/>
          <w:numId w:val="41"/>
        </w:numPr>
        <w:tabs>
          <w:tab w:val="left" w:pos="426"/>
        </w:tabs>
        <w:autoSpaceDE w:val="0"/>
        <w:autoSpaceDN w:val="0"/>
        <w:adjustRightInd w:val="0"/>
        <w:ind w:left="851"/>
        <w:jc w:val="both"/>
        <w:rPr>
          <w:rFonts w:ascii="Titillium Up" w:hAnsi="Titillium Up"/>
          <w:bCs/>
          <w:iCs/>
          <w:sz w:val="24"/>
          <w:szCs w:val="24"/>
        </w:rPr>
      </w:pPr>
      <w:r w:rsidRPr="00804A17">
        <w:rPr>
          <w:rFonts w:ascii="Titillium Up" w:hAnsi="Titillium Up"/>
          <w:bCs/>
          <w:iCs/>
          <w:sz w:val="24"/>
          <w:szCs w:val="24"/>
        </w:rPr>
        <w:t>derivanti da lavori di straordinaria manutenzione</w:t>
      </w:r>
      <w:r w:rsidR="00804A17">
        <w:rPr>
          <w:rFonts w:ascii="Titillium Up" w:hAnsi="Titillium Up"/>
          <w:bCs/>
          <w:iCs/>
          <w:sz w:val="24"/>
          <w:szCs w:val="24"/>
        </w:rPr>
        <w:t>;</w:t>
      </w:r>
    </w:p>
    <w:p w14:paraId="1A4CD318" w14:textId="77777777" w:rsidR="00F05BEF" w:rsidRPr="00804A17" w:rsidRDefault="00F05BEF" w:rsidP="00D04AFA">
      <w:pPr>
        <w:numPr>
          <w:ilvl w:val="0"/>
          <w:numId w:val="41"/>
        </w:numPr>
        <w:tabs>
          <w:tab w:val="left" w:pos="426"/>
        </w:tabs>
        <w:autoSpaceDE w:val="0"/>
        <w:autoSpaceDN w:val="0"/>
        <w:adjustRightInd w:val="0"/>
        <w:ind w:left="851"/>
        <w:jc w:val="both"/>
        <w:rPr>
          <w:rFonts w:ascii="Titillium Up" w:hAnsi="Titillium Up"/>
          <w:bCs/>
          <w:iCs/>
          <w:sz w:val="24"/>
          <w:szCs w:val="24"/>
        </w:rPr>
      </w:pPr>
      <w:r w:rsidRPr="00804A17">
        <w:rPr>
          <w:rFonts w:ascii="Titillium Up" w:hAnsi="Titillium Up"/>
          <w:bCs/>
          <w:iCs/>
          <w:sz w:val="24"/>
          <w:szCs w:val="24"/>
        </w:rPr>
        <w:t>derivanti da umidità, stillicidio, insalubrità e ampliamento dei locali</w:t>
      </w:r>
      <w:r w:rsidR="00804A17">
        <w:rPr>
          <w:rFonts w:ascii="Titillium Up" w:hAnsi="Titillium Up"/>
          <w:bCs/>
          <w:iCs/>
          <w:sz w:val="24"/>
          <w:szCs w:val="24"/>
        </w:rPr>
        <w:t>;</w:t>
      </w:r>
    </w:p>
    <w:p w14:paraId="104AF898" w14:textId="77777777" w:rsidR="00F05BEF" w:rsidRPr="00804A17" w:rsidRDefault="00F05BEF" w:rsidP="00D04AFA">
      <w:pPr>
        <w:numPr>
          <w:ilvl w:val="0"/>
          <w:numId w:val="41"/>
        </w:numPr>
        <w:tabs>
          <w:tab w:val="left" w:pos="426"/>
        </w:tabs>
        <w:autoSpaceDE w:val="0"/>
        <w:autoSpaceDN w:val="0"/>
        <w:adjustRightInd w:val="0"/>
        <w:ind w:left="851"/>
        <w:jc w:val="both"/>
        <w:rPr>
          <w:rFonts w:ascii="Titillium Up" w:hAnsi="Titillium Up"/>
          <w:bCs/>
          <w:iCs/>
          <w:sz w:val="24"/>
          <w:szCs w:val="24"/>
        </w:rPr>
      </w:pPr>
      <w:r w:rsidRPr="00804A17">
        <w:rPr>
          <w:rFonts w:ascii="Titillium Up" w:hAnsi="Titillium Up"/>
          <w:bCs/>
          <w:iCs/>
          <w:sz w:val="24"/>
          <w:szCs w:val="24"/>
        </w:rPr>
        <w:t>derivanti da proprietà, possesso, uso e custodia di armi e dall'esercizio della caccia</w:t>
      </w:r>
      <w:r w:rsidR="00804A17">
        <w:rPr>
          <w:rFonts w:ascii="Titillium Up" w:hAnsi="Titillium Up"/>
          <w:bCs/>
          <w:iCs/>
          <w:sz w:val="24"/>
          <w:szCs w:val="24"/>
        </w:rPr>
        <w:t>;</w:t>
      </w:r>
    </w:p>
    <w:p w14:paraId="272F8D87" w14:textId="77777777" w:rsidR="00F05BEF" w:rsidRPr="00804A17" w:rsidRDefault="00F05BEF" w:rsidP="00D04AFA">
      <w:pPr>
        <w:numPr>
          <w:ilvl w:val="0"/>
          <w:numId w:val="41"/>
        </w:numPr>
        <w:tabs>
          <w:tab w:val="left" w:pos="426"/>
        </w:tabs>
        <w:autoSpaceDE w:val="0"/>
        <w:autoSpaceDN w:val="0"/>
        <w:adjustRightInd w:val="0"/>
        <w:ind w:left="851"/>
        <w:jc w:val="both"/>
        <w:rPr>
          <w:rFonts w:ascii="Titillium Up" w:hAnsi="Titillium Up"/>
          <w:bCs/>
          <w:iCs/>
          <w:sz w:val="24"/>
          <w:szCs w:val="24"/>
        </w:rPr>
      </w:pPr>
      <w:r w:rsidRPr="00804A17">
        <w:rPr>
          <w:rFonts w:ascii="Titillium Up" w:hAnsi="Titillium Up"/>
          <w:bCs/>
          <w:iCs/>
          <w:sz w:val="24"/>
          <w:szCs w:val="24"/>
        </w:rPr>
        <w:t>derivanti da proprietà, possesso, uso e custodia di veicoli a motore e di natanti</w:t>
      </w:r>
      <w:r w:rsidR="00804A17">
        <w:rPr>
          <w:rFonts w:ascii="Titillium Up" w:hAnsi="Titillium Up"/>
          <w:bCs/>
          <w:iCs/>
          <w:sz w:val="24"/>
          <w:szCs w:val="24"/>
        </w:rPr>
        <w:t>;</w:t>
      </w:r>
    </w:p>
    <w:p w14:paraId="66553142" w14:textId="77777777" w:rsidR="00F05BEF" w:rsidRPr="00804A17" w:rsidRDefault="00F05BEF" w:rsidP="00D04AFA">
      <w:pPr>
        <w:numPr>
          <w:ilvl w:val="0"/>
          <w:numId w:val="41"/>
        </w:numPr>
        <w:tabs>
          <w:tab w:val="left" w:pos="426"/>
        </w:tabs>
        <w:autoSpaceDE w:val="0"/>
        <w:autoSpaceDN w:val="0"/>
        <w:adjustRightInd w:val="0"/>
        <w:ind w:left="851"/>
        <w:jc w:val="both"/>
        <w:rPr>
          <w:rFonts w:ascii="Titillium Up" w:hAnsi="Titillium Up"/>
          <w:bCs/>
          <w:iCs/>
          <w:sz w:val="24"/>
          <w:szCs w:val="24"/>
        </w:rPr>
      </w:pPr>
      <w:r w:rsidRPr="00804A17">
        <w:rPr>
          <w:rFonts w:ascii="Titillium Up" w:hAnsi="Titillium Up"/>
          <w:bCs/>
          <w:iCs/>
          <w:sz w:val="24"/>
          <w:szCs w:val="24"/>
        </w:rPr>
        <w:t xml:space="preserve">causati a telefoni cellulari, smartphone, videocamere, fotocamere, </w:t>
      </w:r>
      <w:proofErr w:type="spellStart"/>
      <w:r w:rsidRPr="00804A17">
        <w:rPr>
          <w:rFonts w:ascii="Titillium Up" w:hAnsi="Titillium Up"/>
          <w:bCs/>
          <w:iCs/>
          <w:sz w:val="24"/>
          <w:szCs w:val="24"/>
        </w:rPr>
        <w:t>ipod</w:t>
      </w:r>
      <w:proofErr w:type="spellEnd"/>
      <w:r w:rsidRPr="00804A17">
        <w:rPr>
          <w:rFonts w:ascii="Titillium Up" w:hAnsi="Titillium Up"/>
          <w:bCs/>
          <w:iCs/>
          <w:sz w:val="24"/>
          <w:szCs w:val="24"/>
        </w:rPr>
        <w:t>, tablet, e televisori</w:t>
      </w:r>
      <w:r w:rsidR="00804A17">
        <w:rPr>
          <w:rFonts w:ascii="Titillium Up" w:hAnsi="Titillium Up"/>
          <w:bCs/>
          <w:iCs/>
          <w:sz w:val="24"/>
          <w:szCs w:val="24"/>
        </w:rPr>
        <w:t>;</w:t>
      </w:r>
    </w:p>
    <w:p w14:paraId="6D4F9A2C" w14:textId="77777777" w:rsidR="00F05BEF" w:rsidRPr="00804A17" w:rsidRDefault="00F05BEF" w:rsidP="00D04AFA">
      <w:pPr>
        <w:numPr>
          <w:ilvl w:val="0"/>
          <w:numId w:val="41"/>
        </w:numPr>
        <w:tabs>
          <w:tab w:val="left" w:pos="426"/>
        </w:tabs>
        <w:autoSpaceDE w:val="0"/>
        <w:autoSpaceDN w:val="0"/>
        <w:adjustRightInd w:val="0"/>
        <w:ind w:left="851"/>
        <w:jc w:val="both"/>
        <w:rPr>
          <w:rFonts w:ascii="Titillium Up" w:hAnsi="Titillium Up"/>
          <w:bCs/>
          <w:iCs/>
          <w:sz w:val="24"/>
          <w:szCs w:val="24"/>
        </w:rPr>
      </w:pPr>
      <w:r w:rsidRPr="00804A17">
        <w:rPr>
          <w:rFonts w:ascii="Titillium Up" w:hAnsi="Titillium Up"/>
          <w:bCs/>
          <w:iCs/>
          <w:sz w:val="24"/>
          <w:szCs w:val="24"/>
        </w:rPr>
        <w:t>da inquinamento dell’aria, dell’acqua o del suolo</w:t>
      </w:r>
      <w:r w:rsidR="00804A17">
        <w:rPr>
          <w:rFonts w:ascii="Titillium Up" w:hAnsi="Titillium Up"/>
          <w:bCs/>
          <w:iCs/>
          <w:sz w:val="24"/>
          <w:szCs w:val="24"/>
        </w:rPr>
        <w:t>;</w:t>
      </w:r>
    </w:p>
    <w:p w14:paraId="21DA8B17" w14:textId="77777777" w:rsidR="00F05BEF" w:rsidRPr="00804A17" w:rsidRDefault="00F05BEF" w:rsidP="00D04AFA">
      <w:pPr>
        <w:numPr>
          <w:ilvl w:val="0"/>
          <w:numId w:val="41"/>
        </w:numPr>
        <w:autoSpaceDE w:val="0"/>
        <w:autoSpaceDN w:val="0"/>
        <w:adjustRightInd w:val="0"/>
        <w:ind w:left="851"/>
        <w:jc w:val="both"/>
        <w:rPr>
          <w:rFonts w:ascii="Titillium Up" w:hAnsi="Titillium Up"/>
          <w:bCs/>
          <w:iCs/>
          <w:sz w:val="24"/>
          <w:szCs w:val="24"/>
        </w:rPr>
      </w:pPr>
      <w:r w:rsidRPr="00804A17">
        <w:rPr>
          <w:rFonts w:ascii="Titillium Up" w:hAnsi="Titillium Up"/>
          <w:bCs/>
          <w:iCs/>
          <w:sz w:val="24"/>
          <w:szCs w:val="24"/>
        </w:rPr>
        <w:t>da furto o rapina e incendio</w:t>
      </w:r>
      <w:r w:rsidR="00804A17">
        <w:rPr>
          <w:rFonts w:ascii="Titillium Up" w:hAnsi="Titillium Up"/>
          <w:bCs/>
          <w:iCs/>
          <w:sz w:val="24"/>
          <w:szCs w:val="24"/>
        </w:rPr>
        <w:t>.</w:t>
      </w:r>
    </w:p>
    <w:p w14:paraId="5816A3A2" w14:textId="77777777" w:rsidR="00F05BEF" w:rsidRPr="005028E9" w:rsidRDefault="00F05BEF" w:rsidP="00D04AFA">
      <w:pPr>
        <w:autoSpaceDE w:val="0"/>
        <w:autoSpaceDN w:val="0"/>
        <w:adjustRightInd w:val="0"/>
        <w:ind w:left="851"/>
        <w:jc w:val="both"/>
        <w:rPr>
          <w:rFonts w:ascii="Arial" w:hAnsi="Arial"/>
          <w:sz w:val="24"/>
          <w:szCs w:val="24"/>
        </w:rPr>
      </w:pPr>
    </w:p>
    <w:p w14:paraId="7790531E" w14:textId="77777777" w:rsidR="00F05BEF" w:rsidRPr="00512EF9" w:rsidRDefault="0012035D"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40" w:name="_Toc373060643"/>
      <w:bookmarkStart w:id="41" w:name="_Toc373394646"/>
      <w:bookmarkStart w:id="42" w:name="_Toc373398569"/>
      <w:bookmarkStart w:id="43" w:name="_Toc531101129"/>
      <w:r>
        <w:rPr>
          <w:rFonts w:ascii="Titillium Up" w:hAnsi="Titillium Up" w:cs="Arial"/>
          <w:b/>
          <w:bCs/>
          <w:caps/>
          <w:color w:val="0070C0"/>
          <w:w w:val="94"/>
          <w:sz w:val="28"/>
          <w:szCs w:val="28"/>
        </w:rPr>
        <w:t>3</w:t>
      </w:r>
      <w:r w:rsidR="00F05BEF" w:rsidRPr="00512EF9">
        <w:rPr>
          <w:rFonts w:ascii="Titillium Up" w:hAnsi="Titillium Up" w:cs="Arial"/>
          <w:b/>
          <w:bCs/>
          <w:caps/>
          <w:color w:val="0070C0"/>
          <w:w w:val="94"/>
          <w:sz w:val="28"/>
          <w:szCs w:val="28"/>
        </w:rPr>
        <w:t>.5  Validità della garanzia ed estensione territoriale</w:t>
      </w:r>
      <w:bookmarkEnd w:id="40"/>
      <w:bookmarkEnd w:id="41"/>
      <w:bookmarkEnd w:id="42"/>
      <w:bookmarkEnd w:id="43"/>
    </w:p>
    <w:p w14:paraId="76D19ADC"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L’assicurazione vale per i sinistri verificatisi e denunciati nel corso di validità del contratto avvenuti in Italia.</w:t>
      </w:r>
    </w:p>
    <w:p w14:paraId="622ED897" w14:textId="77777777" w:rsidR="00F05BEF" w:rsidRPr="005028E9" w:rsidRDefault="00F05BEF" w:rsidP="00F05BEF">
      <w:pPr>
        <w:autoSpaceDE w:val="0"/>
        <w:autoSpaceDN w:val="0"/>
        <w:adjustRightInd w:val="0"/>
        <w:ind w:firstLine="709"/>
        <w:jc w:val="both"/>
        <w:rPr>
          <w:rFonts w:ascii="Arial" w:hAnsi="Arial"/>
          <w:sz w:val="24"/>
          <w:szCs w:val="24"/>
        </w:rPr>
      </w:pPr>
    </w:p>
    <w:p w14:paraId="3A37FDA2" w14:textId="77777777" w:rsidR="00F05BEF" w:rsidRPr="00512EF9" w:rsidRDefault="0012035D"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44" w:name="_Toc373060644"/>
      <w:bookmarkStart w:id="45" w:name="_Toc373394647"/>
      <w:bookmarkStart w:id="46" w:name="_Toc373398570"/>
      <w:bookmarkStart w:id="47" w:name="_Toc531101130"/>
      <w:r>
        <w:rPr>
          <w:rFonts w:ascii="Titillium Up" w:hAnsi="Titillium Up" w:cs="Arial"/>
          <w:b/>
          <w:bCs/>
          <w:caps/>
          <w:color w:val="0070C0"/>
          <w:w w:val="94"/>
          <w:sz w:val="28"/>
          <w:szCs w:val="28"/>
        </w:rPr>
        <w:t>3</w:t>
      </w:r>
      <w:r w:rsidR="00F05BEF" w:rsidRPr="00512EF9">
        <w:rPr>
          <w:rFonts w:ascii="Titillium Up" w:hAnsi="Titillium Up" w:cs="Arial"/>
          <w:b/>
          <w:bCs/>
          <w:caps/>
          <w:color w:val="0070C0"/>
          <w:w w:val="94"/>
          <w:sz w:val="28"/>
          <w:szCs w:val="28"/>
        </w:rPr>
        <w:t>.6  Spese Legali</w:t>
      </w:r>
      <w:bookmarkEnd w:id="44"/>
      <w:bookmarkEnd w:id="45"/>
      <w:bookmarkEnd w:id="46"/>
      <w:bookmarkEnd w:id="47"/>
      <w:r w:rsidR="00F05BEF" w:rsidRPr="00512EF9">
        <w:rPr>
          <w:rFonts w:ascii="Titillium Up" w:hAnsi="Titillium Up" w:cs="Arial"/>
          <w:b/>
          <w:bCs/>
          <w:caps/>
          <w:color w:val="0070C0"/>
          <w:w w:val="94"/>
          <w:sz w:val="28"/>
          <w:szCs w:val="28"/>
        </w:rPr>
        <w:t xml:space="preserve"> </w:t>
      </w:r>
    </w:p>
    <w:p w14:paraId="110A1575"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 xml:space="preserve">La Società assume la gestione delle vertenze in sede civile secondo quanto previsto dall’articolo 1917 c.c.; La Società non riconosce spese per legali o tecnici che non siano da essa designati e non risponde di multe o ammende né delle spese di giustizia penale. </w:t>
      </w:r>
    </w:p>
    <w:p w14:paraId="4AE5E8AB" w14:textId="77777777" w:rsidR="00F05BEF" w:rsidRDefault="00F05BEF" w:rsidP="00F05BEF">
      <w:pPr>
        <w:autoSpaceDE w:val="0"/>
        <w:autoSpaceDN w:val="0"/>
        <w:adjustRightInd w:val="0"/>
        <w:ind w:left="426"/>
        <w:jc w:val="both"/>
        <w:rPr>
          <w:rFonts w:ascii="Arial" w:hAnsi="Arial"/>
          <w:sz w:val="24"/>
          <w:szCs w:val="24"/>
        </w:rPr>
      </w:pPr>
    </w:p>
    <w:p w14:paraId="711BC6AE" w14:textId="77777777" w:rsidR="00F05BEF" w:rsidRPr="00512EF9" w:rsidRDefault="0012035D" w:rsidP="00512EF9">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48" w:name="_Toc531101131"/>
      <w:r>
        <w:rPr>
          <w:rFonts w:ascii="Titillium Up" w:hAnsi="Titillium Up" w:cs="Arial"/>
          <w:b/>
          <w:bCs/>
          <w:caps/>
          <w:color w:val="0070C0"/>
          <w:w w:val="94"/>
          <w:sz w:val="28"/>
          <w:szCs w:val="28"/>
        </w:rPr>
        <w:t>3</w:t>
      </w:r>
      <w:r w:rsidR="00F05BEF" w:rsidRPr="00512EF9">
        <w:rPr>
          <w:rFonts w:ascii="Titillium Up" w:hAnsi="Titillium Up" w:cs="Arial"/>
          <w:b/>
          <w:bCs/>
          <w:caps/>
          <w:color w:val="0070C0"/>
          <w:w w:val="94"/>
          <w:sz w:val="28"/>
          <w:szCs w:val="28"/>
        </w:rPr>
        <w:t>.7  Obblighi dell’assicurato in caso di sinistro</w:t>
      </w:r>
      <w:bookmarkEnd w:id="48"/>
    </w:p>
    <w:p w14:paraId="51A1E3E4"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 xml:space="preserve">In caso di sinistro di Responsabilità civile della Famiglia, l’assicurato deve denunciare </w:t>
      </w:r>
      <w:r w:rsidRPr="00B56231">
        <w:rPr>
          <w:rFonts w:ascii="Titillium Up" w:hAnsi="Titillium Up"/>
          <w:bCs/>
          <w:iCs/>
          <w:sz w:val="24"/>
          <w:szCs w:val="24"/>
        </w:rPr>
        <w:t xml:space="preserve">il sinistro </w:t>
      </w:r>
      <w:r w:rsidRPr="00B56231">
        <w:rPr>
          <w:rFonts w:ascii="Titillium Up" w:hAnsi="Titillium Up"/>
          <w:b/>
          <w:iCs/>
          <w:sz w:val="24"/>
          <w:szCs w:val="24"/>
        </w:rPr>
        <w:t xml:space="preserve">entro </w:t>
      </w:r>
      <w:r w:rsidR="00FE4804">
        <w:rPr>
          <w:rFonts w:ascii="Titillium Up" w:hAnsi="Titillium Up"/>
          <w:b/>
          <w:iCs/>
          <w:sz w:val="24"/>
          <w:szCs w:val="24"/>
        </w:rPr>
        <w:t>10</w:t>
      </w:r>
      <w:r w:rsidRPr="00B56231">
        <w:rPr>
          <w:rFonts w:ascii="Titillium Up" w:hAnsi="Titillium Up"/>
          <w:b/>
          <w:iCs/>
          <w:sz w:val="24"/>
          <w:szCs w:val="24"/>
        </w:rPr>
        <w:t xml:space="preserve"> giorni</w:t>
      </w:r>
      <w:r w:rsidRPr="00B56231">
        <w:rPr>
          <w:rFonts w:ascii="Titillium Up" w:hAnsi="Titillium Up"/>
          <w:bCs/>
          <w:iCs/>
          <w:sz w:val="24"/>
          <w:szCs w:val="24"/>
        </w:rPr>
        <w:t xml:space="preserve"> da quando ne è venuto a conoscenza</w:t>
      </w:r>
      <w:r w:rsidRPr="00B56231">
        <w:rPr>
          <w:rFonts w:ascii="Titillium Up" w:hAnsi="Titillium Up"/>
          <w:b/>
          <w:iCs/>
          <w:sz w:val="24"/>
          <w:szCs w:val="24"/>
        </w:rPr>
        <w:t xml:space="preserve">, </w:t>
      </w:r>
      <w:r w:rsidRPr="00B56231">
        <w:rPr>
          <w:rFonts w:ascii="Titillium Up" w:hAnsi="Titillium Up"/>
          <w:b/>
          <w:iCs/>
          <w:sz w:val="24"/>
          <w:szCs w:val="24"/>
          <w:u w:val="single"/>
        </w:rPr>
        <w:t>pena la perdita al diritto dell’indennizzo</w:t>
      </w:r>
      <w:r w:rsidRPr="00B56231">
        <w:rPr>
          <w:rFonts w:ascii="Titillium Up" w:hAnsi="Titillium Up"/>
          <w:b/>
          <w:iCs/>
          <w:sz w:val="24"/>
          <w:szCs w:val="24"/>
        </w:rPr>
        <w:t xml:space="preserve"> come da art.1915 </w:t>
      </w:r>
      <w:proofErr w:type="spellStart"/>
      <w:r w:rsidRPr="00B56231">
        <w:rPr>
          <w:rFonts w:ascii="Titillium Up" w:hAnsi="Titillium Up"/>
          <w:b/>
          <w:iCs/>
          <w:sz w:val="24"/>
          <w:szCs w:val="24"/>
        </w:rPr>
        <w:t>c.c</w:t>
      </w:r>
      <w:proofErr w:type="spellEnd"/>
      <w:r w:rsidRPr="00B56231">
        <w:rPr>
          <w:rFonts w:ascii="Titillium Up" w:hAnsi="Titillium Up"/>
          <w:b/>
          <w:iCs/>
          <w:sz w:val="24"/>
          <w:szCs w:val="24"/>
        </w:rPr>
        <w:t>,</w:t>
      </w:r>
      <w:r w:rsidRPr="00B56231">
        <w:rPr>
          <w:rFonts w:ascii="Titillium Up" w:hAnsi="Titillium Up"/>
          <w:bCs/>
          <w:iCs/>
          <w:sz w:val="24"/>
          <w:szCs w:val="24"/>
        </w:rPr>
        <w:t xml:space="preserve"> alla Società di brokeraggio attraverso la compilazione</w:t>
      </w:r>
      <w:r w:rsidRPr="00B56231">
        <w:rPr>
          <w:rFonts w:ascii="Arial" w:hAnsi="Arial"/>
          <w:sz w:val="24"/>
          <w:szCs w:val="24"/>
        </w:rPr>
        <w:t xml:space="preserve"> </w:t>
      </w:r>
      <w:r w:rsidRPr="00B56231">
        <w:rPr>
          <w:rFonts w:ascii="Titillium Up" w:hAnsi="Titillium Up"/>
          <w:bCs/>
          <w:iCs/>
          <w:sz w:val="24"/>
          <w:szCs w:val="24"/>
        </w:rPr>
        <w:t>del modulo denuncia sinistri</w:t>
      </w:r>
      <w:r w:rsidRPr="00804A17">
        <w:rPr>
          <w:rFonts w:ascii="Titillium Up" w:hAnsi="Titillium Up"/>
          <w:bCs/>
          <w:iCs/>
          <w:sz w:val="24"/>
          <w:szCs w:val="24"/>
        </w:rPr>
        <w:t xml:space="preserve"> polizza R.C. Famiglia disponibile sul sito </w:t>
      </w:r>
      <w:r w:rsidRPr="00804A17">
        <w:rPr>
          <w:rFonts w:ascii="Titillium Up" w:hAnsi="Titillium Up"/>
          <w:b/>
          <w:iCs/>
          <w:sz w:val="24"/>
          <w:szCs w:val="24"/>
        </w:rPr>
        <w:t>www.amintaunitasindacale.com</w:t>
      </w:r>
    </w:p>
    <w:p w14:paraId="4AB08435"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In caso di richieste scritte della parte danneggiata o preventivi di spesa, inviare la documentazione cartacea ad:</w:t>
      </w:r>
    </w:p>
    <w:p w14:paraId="70CCD20C" w14:textId="77777777" w:rsidR="00603D2F" w:rsidRDefault="00603D2F" w:rsidP="00804A17">
      <w:pPr>
        <w:tabs>
          <w:tab w:val="left" w:pos="426"/>
        </w:tabs>
        <w:autoSpaceDE w:val="0"/>
        <w:autoSpaceDN w:val="0"/>
        <w:adjustRightInd w:val="0"/>
        <w:ind w:left="426"/>
        <w:jc w:val="both"/>
        <w:rPr>
          <w:rFonts w:ascii="Titillium Up" w:hAnsi="Titillium Up"/>
          <w:bCs/>
          <w:iCs/>
          <w:sz w:val="24"/>
          <w:szCs w:val="24"/>
        </w:rPr>
      </w:pPr>
    </w:p>
    <w:p w14:paraId="7CA30CAB"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 xml:space="preserve">Aminta S.r.l. </w:t>
      </w:r>
    </w:p>
    <w:p w14:paraId="1629F522"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Corso Correnti 58/A</w:t>
      </w:r>
    </w:p>
    <w:p w14:paraId="62ADDA50"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10136 Torino</w:t>
      </w:r>
    </w:p>
    <w:p w14:paraId="429D1B69" w14:textId="77777777" w:rsidR="00B56231" w:rsidRDefault="00B56231" w:rsidP="00804A17">
      <w:pPr>
        <w:tabs>
          <w:tab w:val="left" w:pos="426"/>
        </w:tabs>
        <w:autoSpaceDE w:val="0"/>
        <w:autoSpaceDN w:val="0"/>
        <w:adjustRightInd w:val="0"/>
        <w:ind w:left="426"/>
        <w:jc w:val="both"/>
        <w:rPr>
          <w:rFonts w:ascii="Titillium Up" w:hAnsi="Titillium Up"/>
          <w:bCs/>
          <w:iCs/>
          <w:sz w:val="24"/>
          <w:szCs w:val="24"/>
        </w:rPr>
      </w:pPr>
    </w:p>
    <w:p w14:paraId="203157A6"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 xml:space="preserve">indicando sulla busta </w:t>
      </w:r>
      <w:r w:rsidRPr="00804A17">
        <w:rPr>
          <w:rFonts w:ascii="Titillium Up" w:hAnsi="Titillium Up"/>
          <w:b/>
          <w:iCs/>
          <w:sz w:val="24"/>
          <w:szCs w:val="24"/>
        </w:rPr>
        <w:t>“Convenzione UNITA’ SINDACALE - R.</w:t>
      </w:r>
      <w:r w:rsidR="00B30691">
        <w:rPr>
          <w:rFonts w:ascii="Titillium Up" w:hAnsi="Titillium Up"/>
          <w:b/>
          <w:iCs/>
          <w:sz w:val="24"/>
          <w:szCs w:val="24"/>
        </w:rPr>
        <w:t>C</w:t>
      </w:r>
      <w:r w:rsidRPr="00804A17">
        <w:rPr>
          <w:rFonts w:ascii="Titillium Up" w:hAnsi="Titillium Up"/>
          <w:b/>
          <w:iCs/>
          <w:sz w:val="24"/>
          <w:szCs w:val="24"/>
        </w:rPr>
        <w:t>. Famiglia”</w:t>
      </w:r>
      <w:r w:rsidRPr="00804A17">
        <w:rPr>
          <w:rFonts w:ascii="Titillium Up" w:hAnsi="Titillium Up"/>
          <w:bCs/>
          <w:iCs/>
          <w:sz w:val="24"/>
          <w:szCs w:val="24"/>
        </w:rPr>
        <w:t xml:space="preserve"> </w:t>
      </w:r>
    </w:p>
    <w:p w14:paraId="1FFC403E"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La denuncia dovrà sempre contenere una descrizione circostanziata e dettagliata dell’evento che ha originato il sinistro indicando le responsabilità dell’assicurato nell’accaduto.</w:t>
      </w:r>
    </w:p>
    <w:p w14:paraId="2B394232" w14:textId="77777777" w:rsidR="00F05BEF" w:rsidRPr="00804A17" w:rsidRDefault="00F05BEF" w:rsidP="00804A17">
      <w:pPr>
        <w:tabs>
          <w:tab w:val="left" w:pos="426"/>
        </w:tabs>
        <w:autoSpaceDE w:val="0"/>
        <w:autoSpaceDN w:val="0"/>
        <w:adjustRightInd w:val="0"/>
        <w:ind w:left="426"/>
        <w:jc w:val="both"/>
        <w:rPr>
          <w:rFonts w:ascii="Titillium Up" w:hAnsi="Titillium Up"/>
          <w:bCs/>
          <w:iCs/>
          <w:sz w:val="24"/>
          <w:szCs w:val="24"/>
        </w:rPr>
      </w:pPr>
      <w:r w:rsidRPr="00804A17">
        <w:rPr>
          <w:rFonts w:ascii="Titillium Up" w:hAnsi="Titillium Up"/>
          <w:bCs/>
          <w:iCs/>
          <w:sz w:val="24"/>
          <w:szCs w:val="24"/>
        </w:rPr>
        <w:t xml:space="preserve">Tutte le ulteriori richieste ricevute dalla parte danneggiata dovranno essere tempestivamente inviate al broker. </w:t>
      </w:r>
    </w:p>
    <w:p w14:paraId="4EAD506E" w14:textId="77777777" w:rsidR="009857C8" w:rsidRDefault="009857C8" w:rsidP="00F05BEF">
      <w:pPr>
        <w:autoSpaceDE w:val="0"/>
        <w:autoSpaceDN w:val="0"/>
        <w:adjustRightInd w:val="0"/>
        <w:ind w:left="426"/>
        <w:jc w:val="both"/>
        <w:rPr>
          <w:rFonts w:ascii="Arial" w:hAnsi="Arial"/>
          <w:sz w:val="24"/>
          <w:szCs w:val="24"/>
        </w:rPr>
      </w:pPr>
    </w:p>
    <w:p w14:paraId="69F364C0" w14:textId="77777777" w:rsidR="006F7F77" w:rsidRDefault="006F7F77" w:rsidP="00F05BEF">
      <w:pPr>
        <w:autoSpaceDE w:val="0"/>
        <w:autoSpaceDN w:val="0"/>
        <w:adjustRightInd w:val="0"/>
        <w:ind w:left="426"/>
        <w:jc w:val="both"/>
        <w:rPr>
          <w:rFonts w:ascii="Arial" w:hAnsi="Arial"/>
          <w:sz w:val="24"/>
          <w:szCs w:val="24"/>
        </w:rPr>
      </w:pPr>
    </w:p>
    <w:p w14:paraId="396CFCF5" w14:textId="77777777" w:rsidR="00F05BEF" w:rsidRPr="009857C8" w:rsidRDefault="00F05BEF" w:rsidP="009857C8">
      <w:pPr>
        <w:pStyle w:val="Paragrafoelenco"/>
        <w:widowControl w:val="0"/>
        <w:numPr>
          <w:ilvl w:val="0"/>
          <w:numId w:val="33"/>
        </w:numPr>
        <w:suppressAutoHyphens/>
        <w:autoSpaceDE w:val="0"/>
        <w:autoSpaceDN w:val="0"/>
        <w:adjustRightInd w:val="0"/>
        <w:spacing w:after="0" w:line="240" w:lineRule="auto"/>
        <w:ind w:left="284"/>
        <w:jc w:val="both"/>
        <w:textAlignment w:val="center"/>
        <w:rPr>
          <w:rFonts w:ascii="Titillium Up" w:eastAsia="Times New Roman" w:hAnsi="Titillium Up" w:cs="Arial"/>
          <w:b/>
          <w:color w:val="0070C0"/>
          <w:sz w:val="34"/>
          <w:szCs w:val="34"/>
          <w:u w:val="single"/>
          <w:lang w:eastAsia="it-IT"/>
        </w:rPr>
      </w:pPr>
      <w:bookmarkStart w:id="49" w:name="_Toc373398542"/>
      <w:bookmarkStart w:id="50" w:name="_Toc531101132"/>
      <w:r w:rsidRPr="009857C8">
        <w:rPr>
          <w:rFonts w:ascii="Titillium Up" w:eastAsia="Times New Roman" w:hAnsi="Titillium Up" w:cs="Arial"/>
          <w:b/>
          <w:color w:val="0070C0"/>
          <w:sz w:val="34"/>
          <w:szCs w:val="34"/>
          <w:u w:val="single"/>
          <w:lang w:eastAsia="it-IT"/>
        </w:rPr>
        <w:t>CONDIZIONI GENERALI  DEL CONTRATTO</w:t>
      </w:r>
      <w:bookmarkEnd w:id="49"/>
      <w:bookmarkEnd w:id="50"/>
    </w:p>
    <w:p w14:paraId="2531095D" w14:textId="77777777" w:rsidR="00F05BEF" w:rsidRPr="00DA65EA" w:rsidRDefault="00F05BEF" w:rsidP="00F05BEF">
      <w:pPr>
        <w:autoSpaceDE w:val="0"/>
        <w:autoSpaceDN w:val="0"/>
        <w:adjustRightInd w:val="0"/>
        <w:jc w:val="center"/>
        <w:rPr>
          <w:rFonts w:ascii="Arial" w:hAnsi="Arial"/>
          <w:b/>
          <w:bCs/>
          <w:iCs/>
          <w:sz w:val="24"/>
          <w:szCs w:val="24"/>
        </w:rPr>
      </w:pPr>
    </w:p>
    <w:p w14:paraId="6540FDC3" w14:textId="77777777" w:rsidR="006F7F77" w:rsidRP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51" w:name="_Toc373398543"/>
      <w:bookmarkStart w:id="52" w:name="_Toc24734001"/>
      <w:r w:rsidRPr="006F7F77">
        <w:rPr>
          <w:rFonts w:ascii="Titillium Up" w:hAnsi="Titillium Up" w:cs="Arial"/>
          <w:b/>
          <w:bCs/>
          <w:caps/>
          <w:color w:val="0070C0"/>
          <w:w w:val="94"/>
          <w:sz w:val="28"/>
          <w:szCs w:val="28"/>
        </w:rPr>
        <w:t>4.1  Dichiarazioni relative alle circostanze del rischio - Buona fede</w:t>
      </w:r>
      <w:bookmarkEnd w:id="51"/>
      <w:bookmarkEnd w:id="52"/>
    </w:p>
    <w:p w14:paraId="09541EE6" w14:textId="77777777" w:rsidR="006F7F77" w:rsidRPr="006F7F77" w:rsidRDefault="006F7F77" w:rsidP="006F7F77">
      <w:pPr>
        <w:tabs>
          <w:tab w:val="left" w:pos="426"/>
        </w:tabs>
        <w:autoSpaceDE w:val="0"/>
        <w:autoSpaceDN w:val="0"/>
        <w:adjustRightInd w:val="0"/>
        <w:ind w:left="426"/>
        <w:jc w:val="both"/>
        <w:rPr>
          <w:rFonts w:ascii="Titillium Up" w:hAnsi="Titillium Up"/>
          <w:bCs/>
          <w:iCs/>
          <w:sz w:val="24"/>
          <w:szCs w:val="24"/>
        </w:rPr>
      </w:pPr>
      <w:r w:rsidRPr="006F7F77">
        <w:rPr>
          <w:rFonts w:ascii="Titillium Up" w:hAnsi="Titillium Up"/>
          <w:bCs/>
          <w:iCs/>
          <w:sz w:val="24"/>
          <w:szCs w:val="24"/>
        </w:rPr>
        <w:t xml:space="preserve">Le dichiarazioni inesatte o le reticenze del Contraente/Assicurato relative a circostanze che influiscono sulla valutazione del rischio, possono comportare la perdita totale o parziale del diritto all’indennizzo, nonché la stessa cessazione dell’assicurazione (artt. 1892, 1893, </w:t>
      </w:r>
      <w:smartTag w:uri="urn:schemas-microsoft-com:office:smarttags" w:element="metricconverter">
        <w:smartTagPr>
          <w:attr w:name="ProductID" w:val="1894 C"/>
        </w:smartTagPr>
        <w:r w:rsidRPr="006F7F77">
          <w:rPr>
            <w:rFonts w:ascii="Titillium Up" w:hAnsi="Titillium Up"/>
            <w:bCs/>
            <w:iCs/>
            <w:sz w:val="24"/>
            <w:szCs w:val="24"/>
          </w:rPr>
          <w:t>1894 C</w:t>
        </w:r>
      </w:smartTag>
      <w:r w:rsidRPr="006F7F77">
        <w:rPr>
          <w:rFonts w:ascii="Titillium Up" w:hAnsi="Titillium Up"/>
          <w:bCs/>
          <w:iCs/>
          <w:sz w:val="24"/>
          <w:szCs w:val="24"/>
        </w:rPr>
        <w:t>.C.).</w:t>
      </w:r>
    </w:p>
    <w:p w14:paraId="7B321719" w14:textId="77777777" w:rsidR="006F7F77" w:rsidRPr="006F7F77" w:rsidRDefault="006F7F77" w:rsidP="006F7F77">
      <w:pPr>
        <w:tabs>
          <w:tab w:val="left" w:pos="426"/>
        </w:tabs>
        <w:autoSpaceDE w:val="0"/>
        <w:autoSpaceDN w:val="0"/>
        <w:adjustRightInd w:val="0"/>
        <w:ind w:left="426"/>
        <w:jc w:val="both"/>
        <w:rPr>
          <w:rFonts w:ascii="Titillium Up" w:hAnsi="Titillium Up"/>
          <w:bCs/>
          <w:iCs/>
          <w:sz w:val="24"/>
          <w:szCs w:val="24"/>
        </w:rPr>
      </w:pPr>
      <w:r w:rsidRPr="006F7F77">
        <w:rPr>
          <w:rFonts w:ascii="Titillium Up" w:hAnsi="Titillium Up"/>
          <w:bCs/>
          <w:iCs/>
          <w:sz w:val="24"/>
          <w:szCs w:val="24"/>
        </w:rPr>
        <w:t>Tuttavia l'omissione, l’incompletezza o l’inesattezza delle dichiarazioni da parte del Contraente/Assicurato di circostanze eventualmente aggravanti il rischio, durante il corso della validità della presente polizza così come all'atto della sottoscrizione della stessa, non pregiudicano il diritto al completo indennizzo sempre che tali omissioni, incomplete o inesatte dichiarazioni non siano frutto di dolo del Contraente/Assicurato.</w:t>
      </w:r>
    </w:p>
    <w:p w14:paraId="4BAD071A" w14:textId="77777777" w:rsidR="006F7F77" w:rsidRPr="00DA65EA" w:rsidRDefault="006F7F77" w:rsidP="006F7F77">
      <w:pPr>
        <w:autoSpaceDE w:val="0"/>
        <w:autoSpaceDN w:val="0"/>
        <w:adjustRightInd w:val="0"/>
        <w:rPr>
          <w:sz w:val="24"/>
          <w:szCs w:val="24"/>
        </w:rPr>
      </w:pPr>
    </w:p>
    <w:p w14:paraId="47F65560" w14:textId="77777777" w:rsidR="006F7F77" w:rsidRP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53" w:name="_Toc373398544"/>
      <w:bookmarkStart w:id="54" w:name="_Toc24734002"/>
      <w:r w:rsidRPr="006F7F77">
        <w:rPr>
          <w:rFonts w:ascii="Titillium Up" w:hAnsi="Titillium Up" w:cs="Arial"/>
          <w:b/>
          <w:bCs/>
          <w:caps/>
          <w:color w:val="0070C0"/>
          <w:w w:val="94"/>
          <w:sz w:val="28"/>
          <w:szCs w:val="28"/>
        </w:rPr>
        <w:t>4.2  Altre assicurazioni</w:t>
      </w:r>
      <w:bookmarkEnd w:id="53"/>
      <w:bookmarkEnd w:id="54"/>
    </w:p>
    <w:p w14:paraId="5036110D" w14:textId="77777777" w:rsidR="006F7F77" w:rsidRPr="006F7F77" w:rsidRDefault="006F7F77" w:rsidP="006F7F77">
      <w:pPr>
        <w:tabs>
          <w:tab w:val="left" w:pos="426"/>
        </w:tabs>
        <w:autoSpaceDE w:val="0"/>
        <w:autoSpaceDN w:val="0"/>
        <w:adjustRightInd w:val="0"/>
        <w:ind w:left="426"/>
        <w:jc w:val="both"/>
        <w:rPr>
          <w:rFonts w:ascii="Titillium Up" w:hAnsi="Titillium Up"/>
          <w:bCs/>
          <w:iCs/>
          <w:sz w:val="24"/>
          <w:szCs w:val="24"/>
        </w:rPr>
      </w:pPr>
      <w:r w:rsidRPr="006F7F77">
        <w:rPr>
          <w:rFonts w:ascii="Titillium Up" w:hAnsi="Titillium Up"/>
          <w:bCs/>
          <w:iCs/>
          <w:sz w:val="24"/>
          <w:szCs w:val="24"/>
        </w:rPr>
        <w:t>Il Contraente/Assicurato deve comunicare per iscritto alla Società in caso di sinistro l’esistenza di altre assicurazioni per il rischio descritto in polizza.  (art. 1910 C.C.).</w:t>
      </w:r>
    </w:p>
    <w:p w14:paraId="4538FD02" w14:textId="77777777" w:rsidR="006F7F77" w:rsidRPr="00DA65EA" w:rsidRDefault="006F7F77" w:rsidP="006F7F77">
      <w:pPr>
        <w:autoSpaceDE w:val="0"/>
        <w:autoSpaceDN w:val="0"/>
        <w:adjustRightInd w:val="0"/>
        <w:rPr>
          <w:sz w:val="24"/>
          <w:szCs w:val="24"/>
        </w:rPr>
      </w:pPr>
    </w:p>
    <w:p w14:paraId="364F1509" w14:textId="77777777" w:rsidR="006F7F77" w:rsidRP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55" w:name="_Toc373398545"/>
      <w:bookmarkStart w:id="56" w:name="_Toc24734003"/>
      <w:r w:rsidRPr="006F7F77">
        <w:rPr>
          <w:rFonts w:ascii="Titillium Up" w:hAnsi="Titillium Up" w:cs="Arial"/>
          <w:b/>
          <w:bCs/>
          <w:caps/>
          <w:color w:val="0070C0"/>
          <w:w w:val="94"/>
          <w:sz w:val="28"/>
          <w:szCs w:val="28"/>
        </w:rPr>
        <w:t>4.3  Decorrenza dell'assicurazione - Pagamento del premio</w:t>
      </w:r>
      <w:bookmarkEnd w:id="55"/>
      <w:bookmarkEnd w:id="56"/>
    </w:p>
    <w:p w14:paraId="12E6D5E9" w14:textId="2287BF55" w:rsidR="006F7F77" w:rsidRPr="006F7F77" w:rsidRDefault="006F7F77" w:rsidP="006F7F77">
      <w:pPr>
        <w:autoSpaceDE w:val="0"/>
        <w:autoSpaceDN w:val="0"/>
        <w:adjustRightInd w:val="0"/>
        <w:ind w:left="426"/>
        <w:jc w:val="both"/>
        <w:rPr>
          <w:rFonts w:ascii="Titillium Up" w:hAnsi="Titillium Up"/>
          <w:sz w:val="24"/>
          <w:szCs w:val="24"/>
        </w:rPr>
      </w:pPr>
      <w:r w:rsidRPr="006F7F77">
        <w:rPr>
          <w:rFonts w:ascii="Titillium Up" w:hAnsi="Titillium Up"/>
          <w:sz w:val="24"/>
          <w:szCs w:val="24"/>
        </w:rPr>
        <w:t>L’assicurazione ha effetto dalle ore 24 del giorno 31/12/202</w:t>
      </w:r>
      <w:r w:rsidR="00207BC5">
        <w:rPr>
          <w:rFonts w:ascii="Titillium Up" w:hAnsi="Titillium Up"/>
          <w:sz w:val="24"/>
          <w:szCs w:val="24"/>
        </w:rPr>
        <w:t>1</w:t>
      </w:r>
      <w:r w:rsidRPr="006F7F77">
        <w:rPr>
          <w:rFonts w:ascii="Titillium Up" w:hAnsi="Titillium Up"/>
          <w:sz w:val="24"/>
          <w:szCs w:val="24"/>
        </w:rPr>
        <w:t xml:space="preserve"> per le adesioni pervenute e bonificate con valuta fissa al Broker entro le ore 24 del 31/12/202</w:t>
      </w:r>
      <w:r w:rsidR="00207BC5">
        <w:rPr>
          <w:rFonts w:ascii="Titillium Up" w:hAnsi="Titillium Up"/>
          <w:sz w:val="24"/>
          <w:szCs w:val="24"/>
        </w:rPr>
        <w:t>1</w:t>
      </w:r>
      <w:r w:rsidRPr="006F7F77">
        <w:rPr>
          <w:rFonts w:ascii="Titillium Up" w:hAnsi="Titillium Up"/>
          <w:sz w:val="24"/>
          <w:szCs w:val="24"/>
        </w:rPr>
        <w:t>.</w:t>
      </w:r>
    </w:p>
    <w:p w14:paraId="3CA904BE" w14:textId="10CC4D82" w:rsidR="006F7F77" w:rsidRPr="006F7F77" w:rsidRDefault="006F7F77" w:rsidP="006F7F77">
      <w:pPr>
        <w:autoSpaceDE w:val="0"/>
        <w:autoSpaceDN w:val="0"/>
        <w:adjustRightInd w:val="0"/>
        <w:ind w:left="426"/>
        <w:jc w:val="both"/>
        <w:rPr>
          <w:rFonts w:ascii="Titillium Up" w:hAnsi="Titillium Up"/>
          <w:sz w:val="24"/>
          <w:szCs w:val="24"/>
        </w:rPr>
      </w:pPr>
      <w:r w:rsidRPr="006F7F77">
        <w:rPr>
          <w:rFonts w:ascii="Titillium Up" w:hAnsi="Titillium Up"/>
          <w:sz w:val="24"/>
          <w:szCs w:val="24"/>
        </w:rPr>
        <w:t>Per le adesioni pervenute in epoca successiva al 31/12/202</w:t>
      </w:r>
      <w:r w:rsidR="00207BC5">
        <w:rPr>
          <w:rFonts w:ascii="Titillium Up" w:hAnsi="Titillium Up"/>
          <w:sz w:val="24"/>
          <w:szCs w:val="24"/>
        </w:rPr>
        <w:t>1</w:t>
      </w:r>
      <w:r w:rsidRPr="006F7F77">
        <w:rPr>
          <w:rFonts w:ascii="Titillium Up" w:hAnsi="Titillium Up"/>
          <w:sz w:val="24"/>
          <w:szCs w:val="24"/>
        </w:rPr>
        <w:t xml:space="preserve">, l’assicurazione ha effetto dalle ore 24 del giorno di valuta fissa indicata sul bonifico al Broker. </w:t>
      </w:r>
    </w:p>
    <w:p w14:paraId="3B27B03C" w14:textId="77777777" w:rsidR="006F7F77" w:rsidRPr="006F7F77" w:rsidRDefault="006F7F77" w:rsidP="006F7F77">
      <w:pPr>
        <w:autoSpaceDE w:val="0"/>
        <w:autoSpaceDN w:val="0"/>
        <w:adjustRightInd w:val="0"/>
        <w:ind w:left="426"/>
        <w:jc w:val="both"/>
        <w:rPr>
          <w:rFonts w:ascii="Titillium Up" w:hAnsi="Titillium Up"/>
          <w:sz w:val="24"/>
          <w:szCs w:val="24"/>
        </w:rPr>
      </w:pPr>
      <w:r w:rsidRPr="006F7F77">
        <w:rPr>
          <w:rFonts w:ascii="Titillium Up" w:hAnsi="Titillium Up"/>
          <w:sz w:val="24"/>
          <w:szCs w:val="24"/>
        </w:rPr>
        <w:t xml:space="preserve">I premi devono essere pagati alla società di brokeraggio </w:t>
      </w:r>
      <w:r w:rsidRPr="006F7F77">
        <w:rPr>
          <w:rFonts w:ascii="Titillium Up" w:hAnsi="Titillium Up"/>
          <w:b/>
          <w:sz w:val="24"/>
          <w:szCs w:val="24"/>
        </w:rPr>
        <w:t>Aminta s.r.l., Corso Correnti 58/ A 10136 Torino</w:t>
      </w:r>
      <w:r w:rsidRPr="006F7F77">
        <w:rPr>
          <w:rFonts w:ascii="Titillium Up" w:hAnsi="Titillium Up"/>
          <w:sz w:val="24"/>
          <w:szCs w:val="24"/>
        </w:rPr>
        <w:t xml:space="preserve"> sul conto corrente dedicato alla </w:t>
      </w:r>
      <w:r w:rsidRPr="006F7F77">
        <w:rPr>
          <w:rFonts w:ascii="Titillium Up" w:hAnsi="Titillium Up"/>
          <w:b/>
          <w:sz w:val="24"/>
          <w:szCs w:val="24"/>
        </w:rPr>
        <w:t xml:space="preserve">Convenzione Unità Sindacale F.A.L.C.R.I. – S.I.L.C.E.A. – S.I.N.F.U.B. </w:t>
      </w:r>
      <w:r w:rsidRPr="006F7F77">
        <w:rPr>
          <w:rFonts w:ascii="Titillium Up" w:hAnsi="Titillium Up"/>
          <w:sz w:val="24"/>
          <w:szCs w:val="24"/>
        </w:rPr>
        <w:t xml:space="preserve">con il seguente </w:t>
      </w:r>
      <w:r w:rsidRPr="006F7F77">
        <w:rPr>
          <w:rFonts w:ascii="Titillium Up" w:hAnsi="Titillium Up"/>
          <w:b/>
          <w:sz w:val="24"/>
          <w:szCs w:val="24"/>
        </w:rPr>
        <w:t>IBAN:</w:t>
      </w:r>
      <w:r w:rsidRPr="006F7F77">
        <w:rPr>
          <w:rFonts w:ascii="Titillium Up" w:hAnsi="Titillium Up"/>
          <w:sz w:val="24"/>
          <w:szCs w:val="24"/>
        </w:rPr>
        <w:t xml:space="preserve"> </w:t>
      </w:r>
      <w:r w:rsidRPr="006F7F77">
        <w:rPr>
          <w:rFonts w:ascii="Titillium Up" w:hAnsi="Titillium Up"/>
          <w:b/>
          <w:sz w:val="24"/>
          <w:szCs w:val="24"/>
        </w:rPr>
        <w:t>IT32I0853001001000550101043</w:t>
      </w:r>
      <w:r w:rsidRPr="006F7F77">
        <w:rPr>
          <w:rFonts w:ascii="Titillium Up" w:hAnsi="Titillium Up"/>
          <w:sz w:val="24"/>
          <w:szCs w:val="24"/>
        </w:rPr>
        <w:t>, presso la Banca d’Alba - Corso Siracusa N. 45  10136 Torino.</w:t>
      </w:r>
    </w:p>
    <w:p w14:paraId="7CA0C503" w14:textId="77777777" w:rsidR="006F7F77" w:rsidRDefault="006F7F77" w:rsidP="006F7F77">
      <w:pPr>
        <w:autoSpaceDE w:val="0"/>
        <w:autoSpaceDN w:val="0"/>
        <w:adjustRightInd w:val="0"/>
        <w:ind w:left="426"/>
        <w:jc w:val="both"/>
        <w:rPr>
          <w:sz w:val="24"/>
          <w:szCs w:val="24"/>
        </w:rPr>
      </w:pPr>
    </w:p>
    <w:p w14:paraId="3EB2EE6A" w14:textId="77777777" w:rsidR="006F7F77" w:rsidRP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57" w:name="_Toc24734004"/>
      <w:r w:rsidRPr="006F7F77">
        <w:rPr>
          <w:rFonts w:ascii="Titillium Up" w:hAnsi="Titillium Up" w:cs="Arial"/>
          <w:b/>
          <w:bCs/>
          <w:caps/>
          <w:color w:val="0070C0"/>
          <w:w w:val="94"/>
          <w:sz w:val="28"/>
          <w:szCs w:val="28"/>
        </w:rPr>
        <w:t>4 .4 Modalità di adesione e decorrenza delle Garanzie</w:t>
      </w:r>
      <w:bookmarkEnd w:id="57"/>
    </w:p>
    <w:p w14:paraId="717128C1" w14:textId="77777777" w:rsidR="006F7F77" w:rsidRPr="006F7F77" w:rsidRDefault="006F7F77" w:rsidP="006F7F77">
      <w:pPr>
        <w:autoSpaceDE w:val="0"/>
        <w:autoSpaceDN w:val="0"/>
        <w:adjustRightInd w:val="0"/>
        <w:ind w:left="360"/>
        <w:jc w:val="both"/>
        <w:rPr>
          <w:rFonts w:ascii="Titillium Up" w:hAnsi="Titillium Up"/>
          <w:sz w:val="24"/>
          <w:szCs w:val="24"/>
        </w:rPr>
      </w:pPr>
      <w:r w:rsidRPr="006F7F77">
        <w:rPr>
          <w:rFonts w:ascii="Titillium Up" w:hAnsi="Titillium Up"/>
          <w:sz w:val="24"/>
          <w:szCs w:val="24"/>
        </w:rPr>
        <w:t xml:space="preserve">Le adesioni alla presente polizza devono avvenire on-line mediante adesione sul sito </w:t>
      </w:r>
      <w:r w:rsidRPr="006F7F77">
        <w:rPr>
          <w:rFonts w:ascii="Titillium Up" w:hAnsi="Titillium Up"/>
          <w:b/>
          <w:bCs/>
          <w:sz w:val="24"/>
          <w:szCs w:val="24"/>
        </w:rPr>
        <w:t>www.amintaunitasindacale.com</w:t>
      </w:r>
      <w:r w:rsidRPr="006F7F77">
        <w:rPr>
          <w:rFonts w:ascii="Titillium Up" w:hAnsi="Titillium Up"/>
          <w:sz w:val="24"/>
          <w:szCs w:val="24"/>
        </w:rPr>
        <w:t xml:space="preserve"> oppure via fax come indicato nel suddetto sito e pagamento mediante bonifico effettuato da ogni singolo aderente al sindacato.</w:t>
      </w:r>
    </w:p>
    <w:p w14:paraId="1D35628F" w14:textId="77777777" w:rsidR="006F7F77" w:rsidRPr="006F7F77" w:rsidRDefault="006F7F77" w:rsidP="006F7F77">
      <w:pPr>
        <w:autoSpaceDE w:val="0"/>
        <w:autoSpaceDN w:val="0"/>
        <w:adjustRightInd w:val="0"/>
        <w:ind w:left="357"/>
        <w:rPr>
          <w:rFonts w:ascii="Titillium Up" w:hAnsi="Titillium Up"/>
          <w:sz w:val="24"/>
          <w:szCs w:val="24"/>
          <w:u w:val="single"/>
        </w:rPr>
      </w:pPr>
      <w:r w:rsidRPr="006F7F77">
        <w:rPr>
          <w:rFonts w:ascii="Titillium Up" w:hAnsi="Titillium Up"/>
          <w:sz w:val="24"/>
          <w:szCs w:val="24"/>
        </w:rPr>
        <w:t>si precisa che:</w:t>
      </w:r>
    </w:p>
    <w:p w14:paraId="2412D7E6" w14:textId="77777777" w:rsidR="006F7F77" w:rsidRPr="006F7F77" w:rsidRDefault="006F7F77" w:rsidP="006F7F77">
      <w:pPr>
        <w:numPr>
          <w:ilvl w:val="0"/>
          <w:numId w:val="48"/>
        </w:numPr>
        <w:autoSpaceDE w:val="0"/>
        <w:autoSpaceDN w:val="0"/>
        <w:adjustRightInd w:val="0"/>
        <w:jc w:val="both"/>
        <w:rPr>
          <w:rFonts w:ascii="Titillium Up" w:hAnsi="Titillium Up"/>
          <w:sz w:val="24"/>
          <w:szCs w:val="24"/>
        </w:rPr>
      </w:pPr>
      <w:r w:rsidRPr="006F7F77">
        <w:rPr>
          <w:rFonts w:ascii="Titillium Up" w:hAnsi="Titillium Up"/>
          <w:sz w:val="24"/>
          <w:szCs w:val="24"/>
        </w:rPr>
        <w:t xml:space="preserve">in caso di recesso dal Sindacato FALCRI-SILCEA dei singoli Assicurati, nel corso dell’annualità assicurativa, </w:t>
      </w:r>
      <w:r w:rsidRPr="006F7F77">
        <w:rPr>
          <w:rFonts w:ascii="Titillium Up" w:hAnsi="Titillium Up"/>
          <w:sz w:val="24"/>
          <w:szCs w:val="24"/>
          <w:u w:val="single"/>
        </w:rPr>
        <w:t>non è dovuto alcun rimborso</w:t>
      </w:r>
      <w:r w:rsidRPr="006F7F77">
        <w:rPr>
          <w:rFonts w:ascii="Titillium Up" w:hAnsi="Titillium Up"/>
          <w:sz w:val="24"/>
          <w:szCs w:val="24"/>
        </w:rPr>
        <w:t>, anche se l’uscita è determinata da disdetta della Società per sinistro;</w:t>
      </w:r>
    </w:p>
    <w:p w14:paraId="01F16521" w14:textId="77777777" w:rsidR="006F7F77" w:rsidRPr="006F7F77" w:rsidRDefault="006F7F77" w:rsidP="006F7F77">
      <w:pPr>
        <w:numPr>
          <w:ilvl w:val="0"/>
          <w:numId w:val="48"/>
        </w:numPr>
        <w:autoSpaceDE w:val="0"/>
        <w:autoSpaceDN w:val="0"/>
        <w:adjustRightInd w:val="0"/>
        <w:jc w:val="both"/>
        <w:rPr>
          <w:rFonts w:ascii="Titillium Up" w:hAnsi="Titillium Up"/>
          <w:sz w:val="24"/>
          <w:szCs w:val="24"/>
        </w:rPr>
      </w:pPr>
      <w:r w:rsidRPr="006F7F77">
        <w:rPr>
          <w:rFonts w:ascii="Titillium Up" w:hAnsi="Titillium Up"/>
          <w:sz w:val="24"/>
          <w:szCs w:val="24"/>
        </w:rPr>
        <w:t>in caso di cessazione totale o parziale (maternità o congedi parentali) del rapporto di lavoro con l’istituto di credito non è dovuto all’assicurato nessun rimborso del premio pagato</w:t>
      </w:r>
      <w:r>
        <w:rPr>
          <w:rFonts w:ascii="Titillium Up" w:hAnsi="Titillium Up"/>
          <w:sz w:val="24"/>
          <w:szCs w:val="24"/>
        </w:rPr>
        <w:t>.</w:t>
      </w:r>
    </w:p>
    <w:p w14:paraId="24C15CE9" w14:textId="77777777" w:rsidR="006F7F77" w:rsidRPr="00DA65EA" w:rsidRDefault="006F7F77" w:rsidP="006F7F77">
      <w:pPr>
        <w:autoSpaceDE w:val="0"/>
        <w:autoSpaceDN w:val="0"/>
        <w:adjustRightInd w:val="0"/>
        <w:rPr>
          <w:sz w:val="24"/>
          <w:szCs w:val="24"/>
        </w:rPr>
      </w:pPr>
    </w:p>
    <w:p w14:paraId="291619C9" w14:textId="77777777" w:rsidR="006F7F77" w:rsidRP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58" w:name="_Toc373398546"/>
      <w:bookmarkStart w:id="59" w:name="_Toc24734005"/>
      <w:r w:rsidRPr="006F7F77">
        <w:rPr>
          <w:rFonts w:ascii="Titillium Up" w:hAnsi="Titillium Up" w:cs="Arial"/>
          <w:b/>
          <w:bCs/>
          <w:caps/>
          <w:color w:val="0070C0"/>
          <w:w w:val="94"/>
          <w:sz w:val="28"/>
          <w:szCs w:val="28"/>
        </w:rPr>
        <w:t>4.5  Variazioni del rischio</w:t>
      </w:r>
      <w:bookmarkEnd w:id="58"/>
      <w:bookmarkEnd w:id="59"/>
    </w:p>
    <w:p w14:paraId="4FE7F4E8" w14:textId="77777777" w:rsidR="006F7F77" w:rsidRPr="006F7F77" w:rsidRDefault="006F7F77" w:rsidP="006F7F77">
      <w:pPr>
        <w:autoSpaceDE w:val="0"/>
        <w:autoSpaceDN w:val="0"/>
        <w:adjustRightInd w:val="0"/>
        <w:ind w:left="426"/>
        <w:jc w:val="both"/>
        <w:rPr>
          <w:rFonts w:ascii="Titillium Up" w:hAnsi="Titillium Up"/>
          <w:sz w:val="24"/>
          <w:szCs w:val="24"/>
        </w:rPr>
      </w:pPr>
      <w:r w:rsidRPr="006F7F77">
        <w:rPr>
          <w:rFonts w:ascii="Titillium Up" w:hAnsi="Titillium Up"/>
          <w:sz w:val="24"/>
          <w:szCs w:val="24"/>
        </w:rPr>
        <w:t>Il Contraente/Assicurato deve comunicare alla Società ogni aggravamento del rischio entro 6 mesi dal suo verificarsi.</w:t>
      </w:r>
    </w:p>
    <w:p w14:paraId="10AB4DAA" w14:textId="77777777" w:rsidR="006F7F77" w:rsidRPr="006F7F77" w:rsidRDefault="006F7F77" w:rsidP="006F7F77">
      <w:pPr>
        <w:autoSpaceDE w:val="0"/>
        <w:autoSpaceDN w:val="0"/>
        <w:adjustRightInd w:val="0"/>
        <w:ind w:left="426"/>
        <w:jc w:val="both"/>
        <w:rPr>
          <w:rFonts w:ascii="Titillium Up" w:hAnsi="Titillium Up"/>
          <w:sz w:val="24"/>
          <w:szCs w:val="24"/>
        </w:rPr>
      </w:pPr>
      <w:r w:rsidRPr="006F7F77">
        <w:rPr>
          <w:rFonts w:ascii="Titillium Up" w:hAnsi="Titillium Up"/>
          <w:sz w:val="24"/>
          <w:szCs w:val="24"/>
        </w:rPr>
        <w:t xml:space="preserve">Gli aggravamenti di rischio non noti o non accettati dalla Società possono comportare la perdita totale o parziale del diritto all'indennizzo nonché la stessa cessazione dell'assicurazione, ai sensi dell’art. </w:t>
      </w:r>
      <w:smartTag w:uri="urn:schemas-microsoft-com:office:smarttags" w:element="metricconverter">
        <w:smartTagPr>
          <w:attr w:name="ProductID" w:val="1898 C"/>
        </w:smartTagPr>
        <w:r w:rsidRPr="006F7F77">
          <w:rPr>
            <w:rFonts w:ascii="Titillium Up" w:hAnsi="Titillium Up"/>
            <w:sz w:val="24"/>
            <w:szCs w:val="24"/>
          </w:rPr>
          <w:t>1898 C</w:t>
        </w:r>
      </w:smartTag>
      <w:r w:rsidRPr="006F7F77">
        <w:rPr>
          <w:rFonts w:ascii="Titillium Up" w:hAnsi="Titillium Up"/>
          <w:sz w:val="24"/>
          <w:szCs w:val="24"/>
        </w:rPr>
        <w:t>.C.</w:t>
      </w:r>
    </w:p>
    <w:p w14:paraId="16CF1D05" w14:textId="77777777" w:rsidR="006F7F77" w:rsidRDefault="006F7F77" w:rsidP="006F7F77">
      <w:pPr>
        <w:autoSpaceDE w:val="0"/>
        <w:autoSpaceDN w:val="0"/>
        <w:adjustRightInd w:val="0"/>
        <w:rPr>
          <w:sz w:val="24"/>
          <w:szCs w:val="24"/>
        </w:rPr>
      </w:pPr>
    </w:p>
    <w:p w14:paraId="22990D61" w14:textId="77777777" w:rsidR="006F7F77" w:rsidRPr="00DA65EA" w:rsidRDefault="006F7F77" w:rsidP="006F7F77">
      <w:pPr>
        <w:autoSpaceDE w:val="0"/>
        <w:autoSpaceDN w:val="0"/>
        <w:adjustRightInd w:val="0"/>
        <w:rPr>
          <w:sz w:val="24"/>
          <w:szCs w:val="24"/>
        </w:rPr>
      </w:pPr>
    </w:p>
    <w:p w14:paraId="64A2FD6E" w14:textId="77777777" w:rsidR="006F7F77" w:rsidRP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60" w:name="_Toc373398547"/>
      <w:bookmarkStart w:id="61" w:name="_Toc24734006"/>
      <w:r w:rsidRPr="006F7F77">
        <w:rPr>
          <w:rFonts w:ascii="Titillium Up" w:hAnsi="Titillium Up" w:cs="Arial"/>
          <w:b/>
          <w:bCs/>
          <w:caps/>
          <w:color w:val="0070C0"/>
          <w:w w:val="94"/>
          <w:sz w:val="28"/>
          <w:szCs w:val="28"/>
        </w:rPr>
        <w:t>4.6  Durata dell'assicurazione</w:t>
      </w:r>
      <w:bookmarkEnd w:id="60"/>
      <w:bookmarkEnd w:id="61"/>
    </w:p>
    <w:p w14:paraId="5BE151D5" w14:textId="1CA833F6" w:rsidR="006F7F77" w:rsidRPr="006F7F77" w:rsidRDefault="006F7F77" w:rsidP="006F7F77">
      <w:pPr>
        <w:autoSpaceDE w:val="0"/>
        <w:autoSpaceDN w:val="0"/>
        <w:adjustRightInd w:val="0"/>
        <w:ind w:left="426"/>
        <w:jc w:val="both"/>
        <w:rPr>
          <w:rFonts w:ascii="Titillium Up" w:hAnsi="Titillium Up"/>
          <w:sz w:val="24"/>
          <w:szCs w:val="24"/>
        </w:rPr>
      </w:pPr>
      <w:r w:rsidRPr="006F7F77">
        <w:rPr>
          <w:rFonts w:ascii="Titillium Up" w:hAnsi="Titillium Up"/>
          <w:sz w:val="24"/>
          <w:szCs w:val="24"/>
        </w:rPr>
        <w:t xml:space="preserve">La presente assicurazione ha validità dalle ore 24 del </w:t>
      </w:r>
      <w:r w:rsidRPr="006F7F77">
        <w:rPr>
          <w:rFonts w:ascii="Titillium Up" w:hAnsi="Titillium Up"/>
          <w:b/>
          <w:bCs/>
          <w:sz w:val="24"/>
          <w:szCs w:val="24"/>
        </w:rPr>
        <w:t>31.12.202</w:t>
      </w:r>
      <w:r w:rsidR="00207BC5">
        <w:rPr>
          <w:rFonts w:ascii="Titillium Up" w:hAnsi="Titillium Up"/>
          <w:b/>
          <w:bCs/>
          <w:sz w:val="24"/>
          <w:szCs w:val="24"/>
        </w:rPr>
        <w:t>1</w:t>
      </w:r>
      <w:r w:rsidRPr="006F7F77">
        <w:rPr>
          <w:rFonts w:ascii="Titillium Up" w:hAnsi="Titillium Up"/>
          <w:b/>
          <w:bCs/>
          <w:sz w:val="24"/>
          <w:szCs w:val="24"/>
        </w:rPr>
        <w:t xml:space="preserve"> </w:t>
      </w:r>
      <w:r w:rsidRPr="006F7F77">
        <w:rPr>
          <w:rFonts w:ascii="Titillium Up" w:hAnsi="Titillium Up"/>
          <w:sz w:val="24"/>
          <w:szCs w:val="24"/>
        </w:rPr>
        <w:t xml:space="preserve">alle ore 24 del </w:t>
      </w:r>
      <w:r w:rsidRPr="006F7F77">
        <w:rPr>
          <w:rFonts w:ascii="Titillium Up" w:hAnsi="Titillium Up"/>
          <w:b/>
          <w:bCs/>
          <w:sz w:val="24"/>
          <w:szCs w:val="24"/>
        </w:rPr>
        <w:t>31.12.202</w:t>
      </w:r>
      <w:r w:rsidR="00207BC5">
        <w:rPr>
          <w:rFonts w:ascii="Titillium Up" w:hAnsi="Titillium Up"/>
          <w:b/>
          <w:bCs/>
          <w:sz w:val="24"/>
          <w:szCs w:val="24"/>
        </w:rPr>
        <w:t>2</w:t>
      </w:r>
      <w:r w:rsidRPr="006F7F77">
        <w:rPr>
          <w:rFonts w:ascii="Titillium Up" w:hAnsi="Titillium Up"/>
          <w:b/>
          <w:bCs/>
          <w:sz w:val="24"/>
          <w:szCs w:val="24"/>
        </w:rPr>
        <w:t xml:space="preserve"> </w:t>
      </w:r>
      <w:r w:rsidRPr="006F7F77">
        <w:rPr>
          <w:rFonts w:ascii="Titillium Up" w:hAnsi="Titillium Up"/>
          <w:sz w:val="24"/>
          <w:szCs w:val="24"/>
        </w:rPr>
        <w:t xml:space="preserve">per la durata di </w:t>
      </w:r>
      <w:r w:rsidRPr="006F7F77">
        <w:rPr>
          <w:rFonts w:ascii="Titillium Up" w:hAnsi="Titillium Up"/>
          <w:b/>
          <w:bCs/>
          <w:sz w:val="24"/>
          <w:szCs w:val="24"/>
        </w:rPr>
        <w:t>anni UNO</w:t>
      </w:r>
      <w:r w:rsidRPr="006F7F77">
        <w:rPr>
          <w:rFonts w:ascii="Titillium Up" w:hAnsi="Titillium Up"/>
          <w:sz w:val="24"/>
          <w:szCs w:val="24"/>
        </w:rPr>
        <w:t xml:space="preserve"> senza tacito rinnovo</w:t>
      </w:r>
    </w:p>
    <w:p w14:paraId="6E0D2F4B" w14:textId="77777777" w:rsidR="006F7F77" w:rsidRPr="006F7F77" w:rsidRDefault="006F7F77" w:rsidP="006F7F77">
      <w:pPr>
        <w:autoSpaceDE w:val="0"/>
        <w:autoSpaceDN w:val="0"/>
        <w:adjustRightInd w:val="0"/>
        <w:rPr>
          <w:rFonts w:ascii="Titillium Up" w:hAnsi="Titillium Up"/>
          <w:sz w:val="24"/>
          <w:szCs w:val="24"/>
        </w:rPr>
      </w:pPr>
    </w:p>
    <w:p w14:paraId="0ADC4510" w14:textId="77777777" w:rsidR="006F7F77" w:rsidRP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62" w:name="_Toc373398548"/>
      <w:bookmarkStart w:id="63" w:name="_Toc24734007"/>
      <w:r w:rsidRPr="006F7F77">
        <w:rPr>
          <w:rFonts w:ascii="Titillium Up" w:hAnsi="Titillium Up" w:cs="Arial"/>
          <w:b/>
          <w:bCs/>
          <w:caps/>
          <w:color w:val="0070C0"/>
          <w:w w:val="94"/>
          <w:sz w:val="28"/>
          <w:szCs w:val="28"/>
        </w:rPr>
        <w:t>4.7  Oneri fiscali</w:t>
      </w:r>
      <w:bookmarkEnd w:id="62"/>
      <w:bookmarkEnd w:id="63"/>
    </w:p>
    <w:p w14:paraId="3F52312F" w14:textId="77777777" w:rsidR="006F7F77" w:rsidRPr="006F7F77" w:rsidRDefault="006F7F77" w:rsidP="006F7F77">
      <w:pPr>
        <w:autoSpaceDE w:val="0"/>
        <w:autoSpaceDN w:val="0"/>
        <w:adjustRightInd w:val="0"/>
        <w:ind w:left="426"/>
        <w:jc w:val="both"/>
        <w:rPr>
          <w:rFonts w:ascii="Titillium Up" w:hAnsi="Titillium Up"/>
          <w:sz w:val="24"/>
          <w:szCs w:val="24"/>
        </w:rPr>
      </w:pPr>
      <w:r w:rsidRPr="006F7F77">
        <w:rPr>
          <w:rFonts w:ascii="Titillium Up" w:hAnsi="Titillium Up"/>
          <w:sz w:val="24"/>
          <w:szCs w:val="24"/>
        </w:rPr>
        <w:t>Gli oneri fiscali relativi all'assicurazione sono a carico del Contraente/Assicurato anche se il pagamento ne sia stato anticipato dalla Società.</w:t>
      </w:r>
    </w:p>
    <w:p w14:paraId="4F359EA8" w14:textId="77777777" w:rsidR="006F7F77" w:rsidRPr="006F7F77" w:rsidRDefault="006F7F77" w:rsidP="006F7F77">
      <w:pPr>
        <w:autoSpaceDE w:val="0"/>
        <w:autoSpaceDN w:val="0"/>
        <w:adjustRightInd w:val="0"/>
        <w:rPr>
          <w:rFonts w:ascii="Titillium Up" w:hAnsi="Titillium Up"/>
          <w:b/>
          <w:bCs/>
          <w:sz w:val="24"/>
          <w:szCs w:val="24"/>
        </w:rPr>
      </w:pPr>
    </w:p>
    <w:p w14:paraId="571470EA" w14:textId="77777777" w:rsidR="006F7F77" w:rsidRP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64" w:name="_Toc373398549"/>
      <w:bookmarkStart w:id="65" w:name="_Toc24734008"/>
      <w:r w:rsidRPr="006F7F77">
        <w:rPr>
          <w:rFonts w:ascii="Titillium Up" w:hAnsi="Titillium Up" w:cs="Arial"/>
          <w:b/>
          <w:bCs/>
          <w:caps/>
          <w:color w:val="0070C0"/>
          <w:w w:val="94"/>
          <w:sz w:val="28"/>
          <w:szCs w:val="28"/>
        </w:rPr>
        <w:t>4.8  Modifiche dell'assicurazione</w:t>
      </w:r>
      <w:bookmarkEnd w:id="64"/>
      <w:bookmarkEnd w:id="65"/>
    </w:p>
    <w:p w14:paraId="463CB1B3" w14:textId="77777777" w:rsidR="006F7F77" w:rsidRPr="006F7F77" w:rsidRDefault="006F7F77" w:rsidP="006F7F77">
      <w:pPr>
        <w:autoSpaceDE w:val="0"/>
        <w:autoSpaceDN w:val="0"/>
        <w:adjustRightInd w:val="0"/>
        <w:ind w:left="426"/>
        <w:rPr>
          <w:rFonts w:ascii="Titillium Up" w:hAnsi="Titillium Up"/>
          <w:sz w:val="24"/>
          <w:szCs w:val="24"/>
        </w:rPr>
      </w:pPr>
      <w:r w:rsidRPr="006F7F77">
        <w:rPr>
          <w:rFonts w:ascii="Titillium Up" w:hAnsi="Titillium Up"/>
          <w:sz w:val="24"/>
          <w:szCs w:val="24"/>
        </w:rPr>
        <w:t>Le eventuali modificazioni dell'assicurazione devono essere provate per iscritto.</w:t>
      </w:r>
    </w:p>
    <w:p w14:paraId="217A0110" w14:textId="77777777" w:rsidR="006F7F77" w:rsidRPr="006F7F77" w:rsidRDefault="006F7F77" w:rsidP="006F7F77">
      <w:pPr>
        <w:pStyle w:val="Titolo2"/>
        <w:rPr>
          <w:rFonts w:ascii="Titillium Up" w:hAnsi="Titillium Up"/>
        </w:rPr>
      </w:pPr>
    </w:p>
    <w:p w14:paraId="60877EE7" w14:textId="77777777" w:rsidR="006F7F77" w:rsidRP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66" w:name="_Toc24734009"/>
      <w:r w:rsidRPr="006F7F77">
        <w:rPr>
          <w:rFonts w:ascii="Titillium Up" w:hAnsi="Titillium Up" w:cs="Arial"/>
          <w:b/>
          <w:bCs/>
          <w:caps/>
          <w:color w:val="0070C0"/>
          <w:w w:val="94"/>
          <w:sz w:val="28"/>
          <w:szCs w:val="28"/>
        </w:rPr>
        <w:t>4.9 Clausola Broker</w:t>
      </w:r>
      <w:bookmarkEnd w:id="66"/>
    </w:p>
    <w:p w14:paraId="491C57AF" w14:textId="77777777" w:rsidR="006F7F77" w:rsidRPr="006F7F77" w:rsidRDefault="006F7F77" w:rsidP="006F7F77">
      <w:pPr>
        <w:autoSpaceDE w:val="0"/>
        <w:autoSpaceDN w:val="0"/>
        <w:adjustRightInd w:val="0"/>
        <w:ind w:left="426"/>
        <w:jc w:val="both"/>
        <w:rPr>
          <w:rFonts w:ascii="Titillium Up" w:hAnsi="Titillium Up"/>
          <w:sz w:val="24"/>
          <w:szCs w:val="24"/>
        </w:rPr>
      </w:pPr>
      <w:r w:rsidRPr="006F7F77">
        <w:rPr>
          <w:rFonts w:ascii="Titillium Up" w:hAnsi="Titillium Up"/>
          <w:sz w:val="24"/>
          <w:szCs w:val="24"/>
        </w:rPr>
        <w:t xml:space="preserve">Il Contraente dichiara, e </w:t>
      </w:r>
      <w:smartTag w:uri="urn:schemas-microsoft-com:office:smarttags" w:element="PersonName">
        <w:smartTagPr>
          <w:attr w:name="ProductID" w:val="la Compagnia"/>
        </w:smartTagPr>
        <w:r w:rsidRPr="006F7F77">
          <w:rPr>
            <w:rFonts w:ascii="Titillium Up" w:hAnsi="Titillium Up"/>
            <w:sz w:val="24"/>
            <w:szCs w:val="24"/>
          </w:rPr>
          <w:t>la Compagnia</w:t>
        </w:r>
      </w:smartTag>
      <w:r w:rsidRPr="006F7F77">
        <w:rPr>
          <w:rFonts w:ascii="Titillium Up" w:hAnsi="Titillium Up"/>
          <w:sz w:val="24"/>
          <w:szCs w:val="24"/>
        </w:rPr>
        <w:t xml:space="preserve"> ne prende atto, che il Broker del contratto è la società di brokeraggio assicurativo AMINTA s.r.l. C. so Correnti, 58 – 10136 TORINO.</w:t>
      </w:r>
    </w:p>
    <w:p w14:paraId="5F5CA066" w14:textId="77777777" w:rsidR="006F7F77" w:rsidRPr="006F7F77" w:rsidRDefault="006F7F77" w:rsidP="006F7F77">
      <w:pPr>
        <w:autoSpaceDE w:val="0"/>
        <w:autoSpaceDN w:val="0"/>
        <w:adjustRightInd w:val="0"/>
        <w:ind w:left="426"/>
        <w:jc w:val="both"/>
        <w:rPr>
          <w:rFonts w:ascii="Titillium Up" w:hAnsi="Titillium Up"/>
          <w:sz w:val="24"/>
          <w:szCs w:val="24"/>
        </w:rPr>
      </w:pPr>
      <w:r w:rsidRPr="006F7F77">
        <w:rPr>
          <w:rFonts w:ascii="Titillium Up" w:hAnsi="Titillium Up"/>
          <w:sz w:val="24"/>
          <w:szCs w:val="24"/>
        </w:rPr>
        <w:t>Pertanto, agli effetti di quanto sopra, tutte le comunicazioni tra le Parti, compreso il pagamento dei premi, avverranno per il tramite della società di brokeraggio AMINTA s.r.l. a mezzo telefax o lettera raccomandata.</w:t>
      </w:r>
    </w:p>
    <w:p w14:paraId="7F82625C" w14:textId="77777777" w:rsidR="006F7F77" w:rsidRPr="006F7F77" w:rsidRDefault="006F7F77" w:rsidP="006F7F77">
      <w:pPr>
        <w:autoSpaceDE w:val="0"/>
        <w:autoSpaceDN w:val="0"/>
        <w:adjustRightInd w:val="0"/>
        <w:ind w:left="426"/>
        <w:jc w:val="both"/>
        <w:rPr>
          <w:rFonts w:ascii="Titillium Up" w:hAnsi="Titillium Up"/>
          <w:sz w:val="24"/>
          <w:szCs w:val="24"/>
        </w:rPr>
      </w:pPr>
      <w:r w:rsidRPr="006F7F77">
        <w:rPr>
          <w:rFonts w:ascii="Titillium Up" w:hAnsi="Titillium Up"/>
          <w:sz w:val="24"/>
          <w:szCs w:val="24"/>
        </w:rPr>
        <w:t>Se tali comunicazioni hanno lo scopo di introdurre nella polizza varianti e modificazioni di qualsiasi genere, queste debbono risultare da un'appendice firmata dalla Società e dal Contraente.</w:t>
      </w:r>
    </w:p>
    <w:p w14:paraId="4804668C" w14:textId="77777777" w:rsidR="006F7F77" w:rsidRPr="006F7F77" w:rsidRDefault="006F7F77" w:rsidP="006F7F77">
      <w:pPr>
        <w:pStyle w:val="Titolo2"/>
        <w:rPr>
          <w:rFonts w:ascii="Titillium Up" w:hAnsi="Titillium Up"/>
        </w:rPr>
      </w:pPr>
    </w:p>
    <w:p w14:paraId="6BDEDDE7" w14:textId="77777777" w:rsidR="006F7F77" w:rsidRP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67" w:name="_Toc24734010"/>
      <w:r w:rsidRPr="006F7F77">
        <w:rPr>
          <w:rFonts w:ascii="Titillium Up" w:hAnsi="Titillium Up" w:cs="Arial"/>
          <w:b/>
          <w:bCs/>
          <w:caps/>
          <w:color w:val="0070C0"/>
          <w:w w:val="94"/>
          <w:sz w:val="28"/>
          <w:szCs w:val="28"/>
        </w:rPr>
        <w:t>4.10 Premi lordi e massimali</w:t>
      </w:r>
      <w:bookmarkEnd w:id="67"/>
    </w:p>
    <w:p w14:paraId="5FF3C6F9" w14:textId="77777777" w:rsidR="006F7F77" w:rsidRPr="006F7F77" w:rsidRDefault="006F7F77" w:rsidP="006F7F77">
      <w:pPr>
        <w:autoSpaceDE w:val="0"/>
        <w:autoSpaceDN w:val="0"/>
        <w:adjustRightInd w:val="0"/>
        <w:jc w:val="both"/>
        <w:rPr>
          <w:rFonts w:ascii="Titillium Up" w:hAnsi="Titillium Up"/>
          <w:sz w:val="24"/>
          <w:szCs w:val="24"/>
        </w:rPr>
      </w:pPr>
      <w:bookmarkStart w:id="68" w:name="_Toc373398578"/>
      <w:r w:rsidRPr="006F7F77">
        <w:rPr>
          <w:rFonts w:ascii="Titillium Up" w:hAnsi="Titillium Up"/>
          <w:sz w:val="24"/>
          <w:szCs w:val="24"/>
        </w:rPr>
        <w:t xml:space="preserve">        Le garanzie si intendono prestate, per ogni Assicurato alle condizioni di seguito evidenziate:</w:t>
      </w:r>
    </w:p>
    <w:p w14:paraId="754E40BC" w14:textId="77777777" w:rsidR="00B30691" w:rsidRDefault="00B30691" w:rsidP="006F7F77">
      <w:pPr>
        <w:autoSpaceDE w:val="0"/>
        <w:autoSpaceDN w:val="0"/>
        <w:adjustRightInd w:val="0"/>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526"/>
        <w:gridCol w:w="1649"/>
        <w:gridCol w:w="1985"/>
        <w:gridCol w:w="2551"/>
      </w:tblGrid>
      <w:tr w:rsidR="006F7F77" w:rsidRPr="006F7F77" w14:paraId="669DBF18" w14:textId="77777777" w:rsidTr="00CA00CA">
        <w:tc>
          <w:tcPr>
            <w:tcW w:w="1070" w:type="dxa"/>
          </w:tcPr>
          <w:p w14:paraId="56166741" w14:textId="77777777" w:rsidR="006F7F77" w:rsidRPr="006F7F77" w:rsidRDefault="006F7F77" w:rsidP="00CA00CA">
            <w:pPr>
              <w:autoSpaceDE w:val="0"/>
              <w:autoSpaceDN w:val="0"/>
              <w:adjustRightInd w:val="0"/>
              <w:jc w:val="center"/>
              <w:rPr>
                <w:rFonts w:ascii="Titillium Up" w:hAnsi="Titillium Up"/>
                <w:b/>
                <w:sz w:val="24"/>
                <w:szCs w:val="24"/>
              </w:rPr>
            </w:pPr>
            <w:r w:rsidRPr="006F7F77">
              <w:rPr>
                <w:rFonts w:ascii="Titillium Up" w:hAnsi="Titillium Up"/>
                <w:b/>
                <w:sz w:val="24"/>
                <w:szCs w:val="24"/>
              </w:rPr>
              <w:t>Opzione</w:t>
            </w:r>
          </w:p>
        </w:tc>
        <w:tc>
          <w:tcPr>
            <w:tcW w:w="2526" w:type="dxa"/>
          </w:tcPr>
          <w:p w14:paraId="3484054D" w14:textId="77777777" w:rsidR="006F7F77" w:rsidRPr="006F7F77" w:rsidRDefault="006F7F77" w:rsidP="00CA00CA">
            <w:pPr>
              <w:autoSpaceDE w:val="0"/>
              <w:autoSpaceDN w:val="0"/>
              <w:adjustRightInd w:val="0"/>
              <w:jc w:val="center"/>
              <w:rPr>
                <w:rFonts w:ascii="Titillium Up" w:hAnsi="Titillium Up"/>
                <w:b/>
                <w:sz w:val="24"/>
                <w:szCs w:val="24"/>
              </w:rPr>
            </w:pPr>
            <w:r w:rsidRPr="006F7F77">
              <w:rPr>
                <w:rFonts w:ascii="Titillium Up" w:hAnsi="Titillium Up"/>
                <w:b/>
                <w:sz w:val="24"/>
                <w:szCs w:val="24"/>
              </w:rPr>
              <w:t>Massimale</w:t>
            </w:r>
          </w:p>
        </w:tc>
        <w:tc>
          <w:tcPr>
            <w:tcW w:w="1649" w:type="dxa"/>
          </w:tcPr>
          <w:p w14:paraId="47CC28E6" w14:textId="77777777" w:rsidR="006F7F77" w:rsidRPr="006F7F77" w:rsidRDefault="006F7F77" w:rsidP="00CA00CA">
            <w:pPr>
              <w:autoSpaceDE w:val="0"/>
              <w:autoSpaceDN w:val="0"/>
              <w:adjustRightInd w:val="0"/>
              <w:jc w:val="center"/>
              <w:rPr>
                <w:rFonts w:ascii="Titillium Up" w:hAnsi="Titillium Up"/>
                <w:b/>
                <w:sz w:val="24"/>
                <w:szCs w:val="24"/>
              </w:rPr>
            </w:pPr>
            <w:r w:rsidRPr="006F7F77">
              <w:rPr>
                <w:rFonts w:ascii="Titillium Up" w:hAnsi="Titillium Up"/>
                <w:b/>
                <w:sz w:val="24"/>
                <w:szCs w:val="24"/>
              </w:rPr>
              <w:t xml:space="preserve">Premio </w:t>
            </w:r>
          </w:p>
          <w:p w14:paraId="7E49D5CB" w14:textId="77777777" w:rsidR="006F7F77" w:rsidRPr="006F7F77" w:rsidRDefault="006F7F77" w:rsidP="00CA00CA">
            <w:pPr>
              <w:autoSpaceDE w:val="0"/>
              <w:autoSpaceDN w:val="0"/>
              <w:adjustRightInd w:val="0"/>
              <w:jc w:val="center"/>
              <w:rPr>
                <w:rFonts w:ascii="Titillium Up" w:hAnsi="Titillium Up"/>
                <w:b/>
                <w:sz w:val="24"/>
                <w:szCs w:val="24"/>
              </w:rPr>
            </w:pPr>
            <w:r w:rsidRPr="006F7F77">
              <w:rPr>
                <w:rFonts w:ascii="Titillium Up" w:hAnsi="Titillium Up"/>
                <w:b/>
                <w:sz w:val="24"/>
                <w:szCs w:val="24"/>
              </w:rPr>
              <w:t xml:space="preserve">annuo </w:t>
            </w:r>
          </w:p>
          <w:p w14:paraId="719BCF91" w14:textId="1575E66A" w:rsidR="006F7F77" w:rsidRPr="006F7F77" w:rsidRDefault="006F7F77" w:rsidP="00CA00CA">
            <w:pPr>
              <w:autoSpaceDE w:val="0"/>
              <w:autoSpaceDN w:val="0"/>
              <w:adjustRightInd w:val="0"/>
              <w:jc w:val="center"/>
              <w:rPr>
                <w:rFonts w:ascii="Titillium Up" w:hAnsi="Titillium Up"/>
                <w:b/>
                <w:sz w:val="24"/>
                <w:szCs w:val="24"/>
              </w:rPr>
            </w:pPr>
            <w:r w:rsidRPr="006F7F77">
              <w:rPr>
                <w:rFonts w:ascii="Titillium Up" w:hAnsi="Titillium Up"/>
                <w:b/>
                <w:sz w:val="24"/>
                <w:szCs w:val="24"/>
              </w:rPr>
              <w:t>202</w:t>
            </w:r>
            <w:r w:rsidR="00207BC5">
              <w:rPr>
                <w:rFonts w:ascii="Titillium Up" w:hAnsi="Titillium Up"/>
                <w:b/>
                <w:sz w:val="24"/>
                <w:szCs w:val="24"/>
              </w:rPr>
              <w:t>2</w:t>
            </w:r>
          </w:p>
        </w:tc>
        <w:tc>
          <w:tcPr>
            <w:tcW w:w="1985" w:type="dxa"/>
          </w:tcPr>
          <w:p w14:paraId="0176F394" w14:textId="33DB2C26" w:rsidR="006F7F77" w:rsidRPr="006F7F77" w:rsidRDefault="006F7F77" w:rsidP="00CA00CA">
            <w:pPr>
              <w:autoSpaceDE w:val="0"/>
              <w:autoSpaceDN w:val="0"/>
              <w:adjustRightInd w:val="0"/>
              <w:jc w:val="center"/>
              <w:rPr>
                <w:rFonts w:ascii="Titillium Up" w:hAnsi="Titillium Up"/>
                <w:b/>
                <w:sz w:val="24"/>
                <w:szCs w:val="24"/>
              </w:rPr>
            </w:pPr>
            <w:r w:rsidRPr="006F7F77">
              <w:rPr>
                <w:rFonts w:ascii="Titillium Up" w:hAnsi="Titillium Up"/>
                <w:b/>
                <w:sz w:val="24"/>
                <w:szCs w:val="24"/>
              </w:rPr>
              <w:t>Premio per adesioni dal 01.07.202</w:t>
            </w:r>
            <w:r w:rsidR="00207BC5">
              <w:rPr>
                <w:rFonts w:ascii="Titillium Up" w:hAnsi="Titillium Up"/>
                <w:b/>
                <w:sz w:val="24"/>
                <w:szCs w:val="24"/>
              </w:rPr>
              <w:t>2</w:t>
            </w:r>
          </w:p>
        </w:tc>
        <w:tc>
          <w:tcPr>
            <w:tcW w:w="2551" w:type="dxa"/>
          </w:tcPr>
          <w:p w14:paraId="4B6B18A8" w14:textId="77777777" w:rsidR="006F7F77" w:rsidRPr="006F7F77" w:rsidRDefault="006F7F77" w:rsidP="00CA00CA">
            <w:pPr>
              <w:autoSpaceDE w:val="0"/>
              <w:autoSpaceDN w:val="0"/>
              <w:adjustRightInd w:val="0"/>
              <w:jc w:val="center"/>
              <w:rPr>
                <w:rFonts w:ascii="Titillium Up" w:hAnsi="Titillium Up"/>
                <w:b/>
                <w:sz w:val="24"/>
                <w:szCs w:val="24"/>
              </w:rPr>
            </w:pPr>
            <w:r w:rsidRPr="006F7F77">
              <w:rPr>
                <w:rFonts w:ascii="Titillium Up" w:hAnsi="Titillium Up"/>
                <w:b/>
                <w:sz w:val="24"/>
                <w:szCs w:val="24"/>
              </w:rPr>
              <w:t>Scoperto a carico dell’assicurato</w:t>
            </w:r>
          </w:p>
        </w:tc>
      </w:tr>
      <w:tr w:rsidR="00990275" w:rsidRPr="006F7F77" w14:paraId="09DD851B" w14:textId="77777777" w:rsidTr="00CA00CA">
        <w:tc>
          <w:tcPr>
            <w:tcW w:w="1070" w:type="dxa"/>
          </w:tcPr>
          <w:p w14:paraId="4CB8EDC2" w14:textId="77777777" w:rsidR="00990275" w:rsidRPr="006F7F77" w:rsidRDefault="00990275" w:rsidP="00990275">
            <w:pPr>
              <w:autoSpaceDE w:val="0"/>
              <w:autoSpaceDN w:val="0"/>
              <w:adjustRightInd w:val="0"/>
              <w:jc w:val="center"/>
              <w:rPr>
                <w:rFonts w:ascii="Titillium Up" w:hAnsi="Titillium Up"/>
                <w:b/>
                <w:sz w:val="24"/>
                <w:szCs w:val="24"/>
              </w:rPr>
            </w:pPr>
            <w:r w:rsidRPr="006F7F77">
              <w:rPr>
                <w:rFonts w:ascii="Titillium Up" w:hAnsi="Titillium Up"/>
                <w:b/>
                <w:sz w:val="24"/>
                <w:szCs w:val="24"/>
              </w:rPr>
              <w:t>1C</w:t>
            </w:r>
          </w:p>
        </w:tc>
        <w:tc>
          <w:tcPr>
            <w:tcW w:w="2526" w:type="dxa"/>
          </w:tcPr>
          <w:p w14:paraId="6D8616D9" w14:textId="77777777" w:rsidR="00990275" w:rsidRPr="006F7F77" w:rsidRDefault="00990275" w:rsidP="00990275">
            <w:pPr>
              <w:autoSpaceDE w:val="0"/>
              <w:autoSpaceDN w:val="0"/>
              <w:adjustRightInd w:val="0"/>
              <w:jc w:val="center"/>
              <w:rPr>
                <w:rFonts w:ascii="Titillium Up" w:hAnsi="Titillium Up"/>
                <w:b/>
                <w:sz w:val="24"/>
                <w:szCs w:val="24"/>
              </w:rPr>
            </w:pPr>
            <w:r w:rsidRPr="006F7F77">
              <w:rPr>
                <w:rFonts w:ascii="Titillium Up" w:hAnsi="Titillium Up"/>
                <w:b/>
                <w:sz w:val="24"/>
                <w:szCs w:val="24"/>
              </w:rPr>
              <w:t>120.000,00</w:t>
            </w:r>
          </w:p>
          <w:p w14:paraId="4C2767D6" w14:textId="77777777" w:rsidR="00990275" w:rsidRPr="006F7F77" w:rsidRDefault="00990275" w:rsidP="00990275">
            <w:pPr>
              <w:autoSpaceDE w:val="0"/>
              <w:autoSpaceDN w:val="0"/>
              <w:adjustRightInd w:val="0"/>
              <w:jc w:val="center"/>
              <w:rPr>
                <w:rFonts w:ascii="Titillium Up" w:hAnsi="Titillium Up"/>
                <w:b/>
                <w:sz w:val="24"/>
                <w:szCs w:val="24"/>
              </w:rPr>
            </w:pPr>
            <w:r w:rsidRPr="006F7F77">
              <w:rPr>
                <w:rFonts w:ascii="Titillium Up" w:hAnsi="Titillium Up"/>
                <w:b/>
                <w:sz w:val="24"/>
                <w:szCs w:val="24"/>
              </w:rPr>
              <w:t>Per anno e per sinistro</w:t>
            </w:r>
          </w:p>
        </w:tc>
        <w:tc>
          <w:tcPr>
            <w:tcW w:w="1649" w:type="dxa"/>
            <w:vAlign w:val="center"/>
          </w:tcPr>
          <w:p w14:paraId="1EC750E4" w14:textId="6757DD18" w:rsidR="00990275" w:rsidRPr="006F7F77" w:rsidRDefault="00990275" w:rsidP="00990275">
            <w:pPr>
              <w:autoSpaceDE w:val="0"/>
              <w:autoSpaceDN w:val="0"/>
              <w:adjustRightInd w:val="0"/>
              <w:jc w:val="center"/>
              <w:rPr>
                <w:rFonts w:ascii="Titillium Up" w:hAnsi="Titillium Up"/>
                <w:b/>
                <w:sz w:val="24"/>
                <w:szCs w:val="24"/>
              </w:rPr>
            </w:pPr>
            <w:r>
              <w:rPr>
                <w:b/>
                <w:sz w:val="24"/>
                <w:szCs w:val="24"/>
              </w:rPr>
              <w:t>70,00</w:t>
            </w:r>
          </w:p>
        </w:tc>
        <w:tc>
          <w:tcPr>
            <w:tcW w:w="1985" w:type="dxa"/>
            <w:vAlign w:val="center"/>
          </w:tcPr>
          <w:p w14:paraId="5F76EDA1" w14:textId="489452F2" w:rsidR="00990275" w:rsidRPr="006F7F77" w:rsidRDefault="00990275" w:rsidP="00990275">
            <w:pPr>
              <w:autoSpaceDE w:val="0"/>
              <w:autoSpaceDN w:val="0"/>
              <w:adjustRightInd w:val="0"/>
              <w:jc w:val="center"/>
              <w:rPr>
                <w:rFonts w:ascii="Titillium Up" w:hAnsi="Titillium Up"/>
                <w:b/>
                <w:sz w:val="24"/>
                <w:szCs w:val="24"/>
              </w:rPr>
            </w:pPr>
            <w:r>
              <w:rPr>
                <w:b/>
                <w:sz w:val="24"/>
                <w:szCs w:val="24"/>
              </w:rPr>
              <w:t>54,00</w:t>
            </w:r>
          </w:p>
        </w:tc>
        <w:tc>
          <w:tcPr>
            <w:tcW w:w="2551" w:type="dxa"/>
            <w:vMerge w:val="restart"/>
            <w:vAlign w:val="center"/>
          </w:tcPr>
          <w:p w14:paraId="7087192B" w14:textId="77777777" w:rsidR="00990275" w:rsidRPr="006F7F77" w:rsidRDefault="00990275" w:rsidP="00990275">
            <w:pPr>
              <w:autoSpaceDE w:val="0"/>
              <w:autoSpaceDN w:val="0"/>
              <w:adjustRightInd w:val="0"/>
              <w:jc w:val="center"/>
              <w:rPr>
                <w:rFonts w:ascii="Titillium Up" w:hAnsi="Titillium Up"/>
                <w:b/>
                <w:sz w:val="24"/>
                <w:szCs w:val="24"/>
              </w:rPr>
            </w:pPr>
            <w:r w:rsidRPr="006F7F77">
              <w:rPr>
                <w:rFonts w:ascii="Titillium Up" w:hAnsi="Titillium Up"/>
                <w:b/>
                <w:sz w:val="24"/>
                <w:szCs w:val="24"/>
              </w:rPr>
              <w:t>Franchigia € 150,00 Scoperto 10% massimo € 3.000,00</w:t>
            </w:r>
          </w:p>
        </w:tc>
      </w:tr>
      <w:tr w:rsidR="00990275" w:rsidRPr="006F7F77" w14:paraId="7F1B20AF" w14:textId="77777777" w:rsidTr="00CA00CA">
        <w:trPr>
          <w:trHeight w:val="667"/>
        </w:trPr>
        <w:tc>
          <w:tcPr>
            <w:tcW w:w="1070" w:type="dxa"/>
            <w:vAlign w:val="center"/>
          </w:tcPr>
          <w:p w14:paraId="1248014D" w14:textId="77777777" w:rsidR="00990275" w:rsidRPr="006F7F77" w:rsidRDefault="00990275" w:rsidP="00990275">
            <w:pPr>
              <w:autoSpaceDE w:val="0"/>
              <w:autoSpaceDN w:val="0"/>
              <w:adjustRightInd w:val="0"/>
              <w:jc w:val="center"/>
              <w:rPr>
                <w:rFonts w:ascii="Titillium Up" w:hAnsi="Titillium Up"/>
                <w:b/>
                <w:sz w:val="24"/>
                <w:szCs w:val="24"/>
              </w:rPr>
            </w:pPr>
            <w:r w:rsidRPr="006F7F77">
              <w:rPr>
                <w:rFonts w:ascii="Titillium Up" w:hAnsi="Titillium Up"/>
                <w:b/>
                <w:sz w:val="24"/>
                <w:szCs w:val="24"/>
              </w:rPr>
              <w:t>2C</w:t>
            </w:r>
          </w:p>
        </w:tc>
        <w:tc>
          <w:tcPr>
            <w:tcW w:w="2526" w:type="dxa"/>
            <w:vAlign w:val="center"/>
          </w:tcPr>
          <w:p w14:paraId="6F66AC0E" w14:textId="77777777" w:rsidR="00990275" w:rsidRPr="006F7F77" w:rsidRDefault="00990275" w:rsidP="00990275">
            <w:pPr>
              <w:autoSpaceDE w:val="0"/>
              <w:autoSpaceDN w:val="0"/>
              <w:adjustRightInd w:val="0"/>
              <w:jc w:val="center"/>
              <w:rPr>
                <w:rFonts w:ascii="Titillium Up" w:hAnsi="Titillium Up"/>
                <w:b/>
                <w:sz w:val="24"/>
                <w:szCs w:val="24"/>
              </w:rPr>
            </w:pPr>
            <w:r w:rsidRPr="006F7F77">
              <w:rPr>
                <w:rFonts w:ascii="Titillium Up" w:hAnsi="Titillium Up"/>
                <w:b/>
                <w:sz w:val="24"/>
                <w:szCs w:val="24"/>
              </w:rPr>
              <w:t>260.000,00</w:t>
            </w:r>
          </w:p>
          <w:p w14:paraId="50E3810F" w14:textId="77777777" w:rsidR="00990275" w:rsidRPr="006F7F77" w:rsidRDefault="00990275" w:rsidP="00990275">
            <w:pPr>
              <w:autoSpaceDE w:val="0"/>
              <w:autoSpaceDN w:val="0"/>
              <w:adjustRightInd w:val="0"/>
              <w:jc w:val="center"/>
              <w:rPr>
                <w:rFonts w:ascii="Titillium Up" w:hAnsi="Titillium Up"/>
                <w:b/>
                <w:sz w:val="24"/>
                <w:szCs w:val="24"/>
              </w:rPr>
            </w:pPr>
            <w:r w:rsidRPr="006F7F77">
              <w:rPr>
                <w:rFonts w:ascii="Titillium Up" w:hAnsi="Titillium Up"/>
                <w:b/>
                <w:sz w:val="24"/>
                <w:szCs w:val="24"/>
              </w:rPr>
              <w:t>Per anno e per sinistro</w:t>
            </w:r>
          </w:p>
        </w:tc>
        <w:tc>
          <w:tcPr>
            <w:tcW w:w="1649" w:type="dxa"/>
            <w:vAlign w:val="center"/>
          </w:tcPr>
          <w:p w14:paraId="42DAEC8C" w14:textId="714DA8C8" w:rsidR="00990275" w:rsidRPr="006F7F77" w:rsidRDefault="00990275" w:rsidP="00990275">
            <w:pPr>
              <w:autoSpaceDE w:val="0"/>
              <w:autoSpaceDN w:val="0"/>
              <w:adjustRightInd w:val="0"/>
              <w:jc w:val="center"/>
              <w:rPr>
                <w:rFonts w:ascii="Titillium Up" w:hAnsi="Titillium Up"/>
                <w:b/>
                <w:sz w:val="24"/>
                <w:szCs w:val="24"/>
              </w:rPr>
            </w:pPr>
            <w:r>
              <w:rPr>
                <w:b/>
                <w:sz w:val="24"/>
                <w:szCs w:val="24"/>
              </w:rPr>
              <w:t>95</w:t>
            </w:r>
            <w:r w:rsidRPr="00DA65EA">
              <w:rPr>
                <w:b/>
                <w:sz w:val="24"/>
                <w:szCs w:val="24"/>
              </w:rPr>
              <w:t>,00</w:t>
            </w:r>
          </w:p>
        </w:tc>
        <w:tc>
          <w:tcPr>
            <w:tcW w:w="1985" w:type="dxa"/>
            <w:vAlign w:val="center"/>
          </w:tcPr>
          <w:p w14:paraId="63B1975D" w14:textId="7D8F4A2F" w:rsidR="00990275" w:rsidRPr="006F7F77" w:rsidRDefault="00990275" w:rsidP="00990275">
            <w:pPr>
              <w:autoSpaceDE w:val="0"/>
              <w:autoSpaceDN w:val="0"/>
              <w:adjustRightInd w:val="0"/>
              <w:jc w:val="center"/>
              <w:rPr>
                <w:rFonts w:ascii="Titillium Up" w:hAnsi="Titillium Up"/>
                <w:b/>
                <w:sz w:val="24"/>
                <w:szCs w:val="24"/>
              </w:rPr>
            </w:pPr>
            <w:r>
              <w:rPr>
                <w:b/>
                <w:sz w:val="24"/>
                <w:szCs w:val="24"/>
              </w:rPr>
              <w:t>61</w:t>
            </w:r>
            <w:r w:rsidRPr="00DA65EA">
              <w:rPr>
                <w:b/>
                <w:sz w:val="24"/>
                <w:szCs w:val="24"/>
              </w:rPr>
              <w:t>,00</w:t>
            </w:r>
          </w:p>
        </w:tc>
        <w:tc>
          <w:tcPr>
            <w:tcW w:w="2551" w:type="dxa"/>
            <w:vMerge/>
            <w:vAlign w:val="center"/>
          </w:tcPr>
          <w:p w14:paraId="2F08C931" w14:textId="77777777" w:rsidR="00990275" w:rsidRPr="006F7F77" w:rsidRDefault="00990275" w:rsidP="00990275">
            <w:pPr>
              <w:autoSpaceDE w:val="0"/>
              <w:autoSpaceDN w:val="0"/>
              <w:adjustRightInd w:val="0"/>
              <w:jc w:val="center"/>
              <w:rPr>
                <w:rFonts w:ascii="Titillium Up" w:hAnsi="Titillium Up"/>
                <w:b/>
                <w:sz w:val="24"/>
                <w:szCs w:val="24"/>
              </w:rPr>
            </w:pPr>
          </w:p>
        </w:tc>
      </w:tr>
      <w:tr w:rsidR="00990275" w:rsidRPr="006F7F77" w14:paraId="227D9D60" w14:textId="77777777" w:rsidTr="00CA00CA">
        <w:trPr>
          <w:trHeight w:val="689"/>
        </w:trPr>
        <w:tc>
          <w:tcPr>
            <w:tcW w:w="1070" w:type="dxa"/>
            <w:vAlign w:val="center"/>
          </w:tcPr>
          <w:p w14:paraId="4EC1C924" w14:textId="77777777" w:rsidR="00990275" w:rsidRPr="006F7F77" w:rsidRDefault="00990275" w:rsidP="00990275">
            <w:pPr>
              <w:autoSpaceDE w:val="0"/>
              <w:autoSpaceDN w:val="0"/>
              <w:adjustRightInd w:val="0"/>
              <w:jc w:val="center"/>
              <w:rPr>
                <w:rFonts w:ascii="Titillium Up" w:hAnsi="Titillium Up"/>
                <w:b/>
                <w:sz w:val="24"/>
                <w:szCs w:val="24"/>
              </w:rPr>
            </w:pPr>
            <w:r w:rsidRPr="006F7F77">
              <w:rPr>
                <w:rFonts w:ascii="Titillium Up" w:hAnsi="Titillium Up"/>
                <w:b/>
                <w:sz w:val="24"/>
                <w:szCs w:val="24"/>
              </w:rPr>
              <w:t>3C</w:t>
            </w:r>
          </w:p>
        </w:tc>
        <w:tc>
          <w:tcPr>
            <w:tcW w:w="2526" w:type="dxa"/>
            <w:vAlign w:val="center"/>
          </w:tcPr>
          <w:p w14:paraId="7B4E55BF" w14:textId="77777777" w:rsidR="00990275" w:rsidRPr="006F7F77" w:rsidRDefault="00990275" w:rsidP="00990275">
            <w:pPr>
              <w:autoSpaceDE w:val="0"/>
              <w:autoSpaceDN w:val="0"/>
              <w:adjustRightInd w:val="0"/>
              <w:jc w:val="center"/>
              <w:rPr>
                <w:rFonts w:ascii="Titillium Up" w:hAnsi="Titillium Up"/>
                <w:b/>
                <w:sz w:val="24"/>
                <w:szCs w:val="24"/>
              </w:rPr>
            </w:pPr>
            <w:r w:rsidRPr="006F7F77">
              <w:rPr>
                <w:rFonts w:ascii="Titillium Up" w:hAnsi="Titillium Up"/>
                <w:b/>
                <w:sz w:val="24"/>
                <w:szCs w:val="24"/>
              </w:rPr>
              <w:t>520.000,00</w:t>
            </w:r>
          </w:p>
          <w:p w14:paraId="073C8144" w14:textId="77777777" w:rsidR="00990275" w:rsidRPr="006F7F77" w:rsidRDefault="00990275" w:rsidP="00990275">
            <w:pPr>
              <w:autoSpaceDE w:val="0"/>
              <w:autoSpaceDN w:val="0"/>
              <w:adjustRightInd w:val="0"/>
              <w:jc w:val="center"/>
              <w:rPr>
                <w:rFonts w:ascii="Titillium Up" w:hAnsi="Titillium Up"/>
                <w:b/>
                <w:sz w:val="24"/>
                <w:szCs w:val="24"/>
              </w:rPr>
            </w:pPr>
            <w:r w:rsidRPr="006F7F77">
              <w:rPr>
                <w:rFonts w:ascii="Titillium Up" w:hAnsi="Titillium Up"/>
                <w:b/>
                <w:sz w:val="24"/>
                <w:szCs w:val="24"/>
              </w:rPr>
              <w:t>Per anno e per sinistro</w:t>
            </w:r>
          </w:p>
        </w:tc>
        <w:tc>
          <w:tcPr>
            <w:tcW w:w="1649" w:type="dxa"/>
            <w:vAlign w:val="center"/>
          </w:tcPr>
          <w:p w14:paraId="3737D15D" w14:textId="7DD7491F" w:rsidR="00990275" w:rsidRPr="006F7F77" w:rsidRDefault="00990275" w:rsidP="00990275">
            <w:pPr>
              <w:autoSpaceDE w:val="0"/>
              <w:autoSpaceDN w:val="0"/>
              <w:adjustRightInd w:val="0"/>
              <w:jc w:val="center"/>
              <w:rPr>
                <w:rFonts w:ascii="Titillium Up" w:hAnsi="Titillium Up"/>
                <w:b/>
                <w:sz w:val="24"/>
                <w:szCs w:val="24"/>
              </w:rPr>
            </w:pPr>
            <w:r>
              <w:rPr>
                <w:b/>
                <w:sz w:val="24"/>
                <w:szCs w:val="24"/>
              </w:rPr>
              <w:t>150</w:t>
            </w:r>
            <w:r w:rsidRPr="00DA65EA">
              <w:rPr>
                <w:b/>
                <w:sz w:val="24"/>
                <w:szCs w:val="24"/>
              </w:rPr>
              <w:t>,00</w:t>
            </w:r>
          </w:p>
        </w:tc>
        <w:tc>
          <w:tcPr>
            <w:tcW w:w="1985" w:type="dxa"/>
            <w:vAlign w:val="center"/>
          </w:tcPr>
          <w:p w14:paraId="7367B772" w14:textId="471AD026" w:rsidR="00990275" w:rsidRPr="006F7F77" w:rsidRDefault="00990275" w:rsidP="00990275">
            <w:pPr>
              <w:autoSpaceDE w:val="0"/>
              <w:autoSpaceDN w:val="0"/>
              <w:adjustRightInd w:val="0"/>
              <w:jc w:val="center"/>
              <w:rPr>
                <w:rFonts w:ascii="Titillium Up" w:hAnsi="Titillium Up"/>
                <w:b/>
                <w:sz w:val="24"/>
                <w:szCs w:val="24"/>
              </w:rPr>
            </w:pPr>
            <w:r>
              <w:rPr>
                <w:b/>
                <w:sz w:val="24"/>
                <w:szCs w:val="24"/>
              </w:rPr>
              <w:t>84</w:t>
            </w:r>
            <w:r w:rsidRPr="00DA65EA">
              <w:rPr>
                <w:b/>
                <w:sz w:val="24"/>
                <w:szCs w:val="24"/>
              </w:rPr>
              <w:t>,00</w:t>
            </w:r>
          </w:p>
        </w:tc>
        <w:tc>
          <w:tcPr>
            <w:tcW w:w="2551" w:type="dxa"/>
            <w:vMerge/>
            <w:vAlign w:val="center"/>
          </w:tcPr>
          <w:p w14:paraId="6CF5885F" w14:textId="77777777" w:rsidR="00990275" w:rsidRPr="006F7F77" w:rsidRDefault="00990275" w:rsidP="00990275">
            <w:pPr>
              <w:autoSpaceDE w:val="0"/>
              <w:autoSpaceDN w:val="0"/>
              <w:adjustRightInd w:val="0"/>
              <w:jc w:val="center"/>
              <w:rPr>
                <w:rFonts w:ascii="Titillium Up" w:hAnsi="Titillium Up"/>
                <w:b/>
                <w:sz w:val="24"/>
                <w:szCs w:val="24"/>
              </w:rPr>
            </w:pPr>
          </w:p>
        </w:tc>
      </w:tr>
      <w:tr w:rsidR="00990275" w:rsidRPr="006F7F77" w14:paraId="60F4074F" w14:textId="77777777" w:rsidTr="00CA00CA">
        <w:trPr>
          <w:trHeight w:val="702"/>
        </w:trPr>
        <w:tc>
          <w:tcPr>
            <w:tcW w:w="1070" w:type="dxa"/>
            <w:vAlign w:val="center"/>
          </w:tcPr>
          <w:p w14:paraId="480B1EE7" w14:textId="77777777" w:rsidR="00990275" w:rsidRPr="006F7F77" w:rsidRDefault="00990275" w:rsidP="00990275">
            <w:pPr>
              <w:autoSpaceDE w:val="0"/>
              <w:autoSpaceDN w:val="0"/>
              <w:adjustRightInd w:val="0"/>
              <w:jc w:val="center"/>
              <w:rPr>
                <w:rFonts w:ascii="Titillium Up" w:hAnsi="Titillium Up"/>
                <w:b/>
                <w:sz w:val="24"/>
                <w:szCs w:val="24"/>
              </w:rPr>
            </w:pPr>
            <w:r w:rsidRPr="006F7F77">
              <w:rPr>
                <w:rFonts w:ascii="Titillium Up" w:hAnsi="Titillium Up"/>
                <w:b/>
                <w:sz w:val="24"/>
                <w:szCs w:val="24"/>
              </w:rPr>
              <w:t>4C</w:t>
            </w:r>
          </w:p>
        </w:tc>
        <w:tc>
          <w:tcPr>
            <w:tcW w:w="2526" w:type="dxa"/>
            <w:vAlign w:val="center"/>
          </w:tcPr>
          <w:p w14:paraId="6DAD5224" w14:textId="77777777" w:rsidR="00990275" w:rsidRPr="006F7F77" w:rsidRDefault="00990275" w:rsidP="00990275">
            <w:pPr>
              <w:autoSpaceDE w:val="0"/>
              <w:autoSpaceDN w:val="0"/>
              <w:adjustRightInd w:val="0"/>
              <w:jc w:val="center"/>
              <w:rPr>
                <w:rFonts w:ascii="Titillium Up" w:hAnsi="Titillium Up"/>
                <w:b/>
                <w:sz w:val="24"/>
                <w:szCs w:val="24"/>
              </w:rPr>
            </w:pPr>
            <w:r w:rsidRPr="006F7F77">
              <w:rPr>
                <w:rFonts w:ascii="Titillium Up" w:hAnsi="Titillium Up"/>
                <w:b/>
                <w:sz w:val="24"/>
                <w:szCs w:val="24"/>
              </w:rPr>
              <w:t>1.000.000,00</w:t>
            </w:r>
          </w:p>
          <w:p w14:paraId="2D352132" w14:textId="77777777" w:rsidR="00990275" w:rsidRPr="006F7F77" w:rsidRDefault="00990275" w:rsidP="00990275">
            <w:pPr>
              <w:autoSpaceDE w:val="0"/>
              <w:autoSpaceDN w:val="0"/>
              <w:adjustRightInd w:val="0"/>
              <w:jc w:val="center"/>
              <w:rPr>
                <w:rFonts w:ascii="Titillium Up" w:hAnsi="Titillium Up"/>
                <w:b/>
                <w:sz w:val="24"/>
                <w:szCs w:val="24"/>
              </w:rPr>
            </w:pPr>
            <w:r w:rsidRPr="006F7F77">
              <w:rPr>
                <w:rFonts w:ascii="Titillium Up" w:hAnsi="Titillium Up"/>
                <w:b/>
                <w:sz w:val="24"/>
                <w:szCs w:val="24"/>
              </w:rPr>
              <w:t>Per anno e per sinistro</w:t>
            </w:r>
          </w:p>
        </w:tc>
        <w:tc>
          <w:tcPr>
            <w:tcW w:w="1649" w:type="dxa"/>
            <w:vAlign w:val="center"/>
          </w:tcPr>
          <w:p w14:paraId="6A474737" w14:textId="7E8398BE" w:rsidR="00990275" w:rsidRPr="006F7F77" w:rsidRDefault="00990275" w:rsidP="00990275">
            <w:pPr>
              <w:autoSpaceDE w:val="0"/>
              <w:autoSpaceDN w:val="0"/>
              <w:adjustRightInd w:val="0"/>
              <w:jc w:val="center"/>
              <w:rPr>
                <w:rFonts w:ascii="Titillium Up" w:hAnsi="Titillium Up"/>
                <w:b/>
                <w:sz w:val="24"/>
                <w:szCs w:val="24"/>
              </w:rPr>
            </w:pPr>
            <w:r>
              <w:rPr>
                <w:b/>
                <w:sz w:val="24"/>
                <w:szCs w:val="24"/>
              </w:rPr>
              <w:t>215</w:t>
            </w:r>
            <w:r w:rsidRPr="00DA65EA">
              <w:rPr>
                <w:b/>
                <w:sz w:val="24"/>
                <w:szCs w:val="24"/>
              </w:rPr>
              <w:t>,00</w:t>
            </w:r>
          </w:p>
        </w:tc>
        <w:tc>
          <w:tcPr>
            <w:tcW w:w="1985" w:type="dxa"/>
            <w:vAlign w:val="center"/>
          </w:tcPr>
          <w:p w14:paraId="4B83F0D5" w14:textId="05C0AE95" w:rsidR="00990275" w:rsidRPr="006F7F77" w:rsidRDefault="00990275" w:rsidP="00990275">
            <w:pPr>
              <w:autoSpaceDE w:val="0"/>
              <w:autoSpaceDN w:val="0"/>
              <w:adjustRightInd w:val="0"/>
              <w:jc w:val="center"/>
              <w:rPr>
                <w:rFonts w:ascii="Titillium Up" w:hAnsi="Titillium Up"/>
                <w:b/>
                <w:sz w:val="24"/>
                <w:szCs w:val="24"/>
              </w:rPr>
            </w:pPr>
            <w:r>
              <w:rPr>
                <w:b/>
                <w:sz w:val="24"/>
                <w:szCs w:val="24"/>
              </w:rPr>
              <w:t>166</w:t>
            </w:r>
            <w:r w:rsidRPr="00DA65EA">
              <w:rPr>
                <w:b/>
                <w:sz w:val="24"/>
                <w:szCs w:val="24"/>
              </w:rPr>
              <w:t>,00</w:t>
            </w:r>
          </w:p>
        </w:tc>
        <w:tc>
          <w:tcPr>
            <w:tcW w:w="2551" w:type="dxa"/>
            <w:vMerge/>
            <w:vAlign w:val="center"/>
          </w:tcPr>
          <w:p w14:paraId="1FBAEBC7" w14:textId="77777777" w:rsidR="00990275" w:rsidRPr="006F7F77" w:rsidRDefault="00990275" w:rsidP="00990275">
            <w:pPr>
              <w:autoSpaceDE w:val="0"/>
              <w:autoSpaceDN w:val="0"/>
              <w:adjustRightInd w:val="0"/>
              <w:jc w:val="center"/>
              <w:rPr>
                <w:rFonts w:ascii="Titillium Up" w:hAnsi="Titillium Up"/>
                <w:b/>
                <w:sz w:val="24"/>
                <w:szCs w:val="24"/>
              </w:rPr>
            </w:pPr>
          </w:p>
        </w:tc>
      </w:tr>
      <w:tr w:rsidR="00990275" w:rsidRPr="006F7F77" w14:paraId="2DFCEE55" w14:textId="77777777" w:rsidTr="00CA00CA">
        <w:trPr>
          <w:trHeight w:val="702"/>
        </w:trPr>
        <w:tc>
          <w:tcPr>
            <w:tcW w:w="1070" w:type="dxa"/>
            <w:vAlign w:val="center"/>
          </w:tcPr>
          <w:p w14:paraId="0CC94F9F" w14:textId="77777777" w:rsidR="00990275" w:rsidRPr="006F7F77" w:rsidRDefault="00990275" w:rsidP="00990275">
            <w:pPr>
              <w:autoSpaceDE w:val="0"/>
              <w:autoSpaceDN w:val="0"/>
              <w:adjustRightInd w:val="0"/>
              <w:jc w:val="center"/>
              <w:rPr>
                <w:rFonts w:ascii="Titillium Up" w:hAnsi="Titillium Up"/>
                <w:b/>
                <w:sz w:val="24"/>
                <w:szCs w:val="24"/>
              </w:rPr>
            </w:pPr>
            <w:r w:rsidRPr="006F7F77">
              <w:rPr>
                <w:rFonts w:ascii="Titillium Up" w:hAnsi="Titillium Up"/>
                <w:b/>
                <w:sz w:val="24"/>
                <w:szCs w:val="24"/>
              </w:rPr>
              <w:t>5C</w:t>
            </w:r>
          </w:p>
        </w:tc>
        <w:tc>
          <w:tcPr>
            <w:tcW w:w="2526" w:type="dxa"/>
            <w:vAlign w:val="center"/>
          </w:tcPr>
          <w:p w14:paraId="22004C26" w14:textId="77777777" w:rsidR="00990275" w:rsidRPr="006F7F77" w:rsidRDefault="00990275" w:rsidP="00990275">
            <w:pPr>
              <w:autoSpaceDE w:val="0"/>
              <w:autoSpaceDN w:val="0"/>
              <w:adjustRightInd w:val="0"/>
              <w:jc w:val="center"/>
              <w:rPr>
                <w:rFonts w:ascii="Titillium Up" w:hAnsi="Titillium Up"/>
                <w:b/>
                <w:sz w:val="24"/>
                <w:szCs w:val="24"/>
              </w:rPr>
            </w:pPr>
            <w:r w:rsidRPr="006F7F77">
              <w:rPr>
                <w:rFonts w:ascii="Titillium Up" w:hAnsi="Titillium Up"/>
                <w:b/>
                <w:sz w:val="24"/>
                <w:szCs w:val="24"/>
              </w:rPr>
              <w:t>2.000.000,00</w:t>
            </w:r>
          </w:p>
          <w:p w14:paraId="007608ED" w14:textId="77777777" w:rsidR="00990275" w:rsidRPr="006F7F77" w:rsidRDefault="00990275" w:rsidP="00990275">
            <w:pPr>
              <w:autoSpaceDE w:val="0"/>
              <w:autoSpaceDN w:val="0"/>
              <w:adjustRightInd w:val="0"/>
              <w:jc w:val="center"/>
              <w:rPr>
                <w:rFonts w:ascii="Titillium Up" w:hAnsi="Titillium Up"/>
                <w:b/>
                <w:sz w:val="24"/>
                <w:szCs w:val="24"/>
              </w:rPr>
            </w:pPr>
            <w:r w:rsidRPr="006F7F77">
              <w:rPr>
                <w:rFonts w:ascii="Titillium Up" w:hAnsi="Titillium Up"/>
                <w:b/>
                <w:sz w:val="24"/>
                <w:szCs w:val="24"/>
              </w:rPr>
              <w:t>Per anno e per sinistro</w:t>
            </w:r>
          </w:p>
        </w:tc>
        <w:tc>
          <w:tcPr>
            <w:tcW w:w="1649" w:type="dxa"/>
            <w:vAlign w:val="center"/>
          </w:tcPr>
          <w:p w14:paraId="4B412BA3" w14:textId="40C5D38F" w:rsidR="00990275" w:rsidRPr="006F7F77" w:rsidRDefault="00990275" w:rsidP="00990275">
            <w:pPr>
              <w:autoSpaceDE w:val="0"/>
              <w:autoSpaceDN w:val="0"/>
              <w:adjustRightInd w:val="0"/>
              <w:jc w:val="center"/>
              <w:rPr>
                <w:rFonts w:ascii="Titillium Up" w:hAnsi="Titillium Up"/>
                <w:b/>
                <w:sz w:val="24"/>
                <w:szCs w:val="24"/>
              </w:rPr>
            </w:pPr>
            <w:r>
              <w:rPr>
                <w:b/>
                <w:sz w:val="24"/>
                <w:szCs w:val="24"/>
              </w:rPr>
              <w:t>385,00</w:t>
            </w:r>
          </w:p>
        </w:tc>
        <w:tc>
          <w:tcPr>
            <w:tcW w:w="1985" w:type="dxa"/>
            <w:vAlign w:val="center"/>
          </w:tcPr>
          <w:p w14:paraId="1E33E742" w14:textId="6125F9DB" w:rsidR="00990275" w:rsidRPr="006F7F77" w:rsidRDefault="00990275" w:rsidP="00990275">
            <w:pPr>
              <w:autoSpaceDE w:val="0"/>
              <w:autoSpaceDN w:val="0"/>
              <w:adjustRightInd w:val="0"/>
              <w:jc w:val="center"/>
              <w:rPr>
                <w:rFonts w:ascii="Titillium Up" w:hAnsi="Titillium Up"/>
                <w:b/>
                <w:sz w:val="24"/>
                <w:szCs w:val="24"/>
              </w:rPr>
            </w:pPr>
            <w:r>
              <w:rPr>
                <w:b/>
                <w:sz w:val="24"/>
                <w:szCs w:val="24"/>
              </w:rPr>
              <w:t>220,00</w:t>
            </w:r>
          </w:p>
        </w:tc>
        <w:tc>
          <w:tcPr>
            <w:tcW w:w="2551" w:type="dxa"/>
            <w:vMerge/>
            <w:vAlign w:val="center"/>
          </w:tcPr>
          <w:p w14:paraId="483B8227" w14:textId="77777777" w:rsidR="00990275" w:rsidRPr="006F7F77" w:rsidRDefault="00990275" w:rsidP="00990275">
            <w:pPr>
              <w:autoSpaceDE w:val="0"/>
              <w:autoSpaceDN w:val="0"/>
              <w:adjustRightInd w:val="0"/>
              <w:jc w:val="center"/>
              <w:rPr>
                <w:rFonts w:ascii="Titillium Up" w:hAnsi="Titillium Up"/>
                <w:b/>
                <w:sz w:val="24"/>
                <w:szCs w:val="24"/>
              </w:rPr>
            </w:pPr>
          </w:p>
        </w:tc>
      </w:tr>
    </w:tbl>
    <w:p w14:paraId="5B4FF663" w14:textId="7A396E9D" w:rsidR="006F7F77" w:rsidRDefault="006F7F77" w:rsidP="006F7F77">
      <w:pPr>
        <w:autoSpaceDE w:val="0"/>
        <w:autoSpaceDN w:val="0"/>
        <w:adjustRightInd w:val="0"/>
        <w:jc w:val="center"/>
        <w:rPr>
          <w:rFonts w:ascii="Titillium Up" w:hAnsi="Titillium Up"/>
          <w:sz w:val="24"/>
          <w:szCs w:val="24"/>
        </w:rPr>
      </w:pPr>
    </w:p>
    <w:p w14:paraId="085581D0" w14:textId="5361B6F1" w:rsidR="00207BC5" w:rsidRDefault="00207BC5" w:rsidP="006F7F77">
      <w:pPr>
        <w:autoSpaceDE w:val="0"/>
        <w:autoSpaceDN w:val="0"/>
        <w:adjustRightInd w:val="0"/>
        <w:jc w:val="center"/>
        <w:rPr>
          <w:rFonts w:ascii="Titillium Up" w:hAnsi="Titillium Up"/>
          <w:sz w:val="24"/>
          <w:szCs w:val="24"/>
        </w:rPr>
      </w:pPr>
    </w:p>
    <w:p w14:paraId="66B42619" w14:textId="77777777" w:rsidR="00207BC5" w:rsidRPr="006F7F77" w:rsidRDefault="00207BC5" w:rsidP="006F7F77">
      <w:pPr>
        <w:autoSpaceDE w:val="0"/>
        <w:autoSpaceDN w:val="0"/>
        <w:adjustRightInd w:val="0"/>
        <w:jc w:val="center"/>
        <w:rPr>
          <w:rFonts w:ascii="Titillium Up" w:hAnsi="Titillium Up"/>
          <w:sz w:val="24"/>
          <w:szCs w:val="24"/>
        </w:rPr>
      </w:pPr>
    </w:p>
    <w:p w14:paraId="25AC270E" w14:textId="77777777" w:rsidR="006F7F77" w:rsidRPr="006F7F77" w:rsidRDefault="006F7F77" w:rsidP="006F7F77">
      <w:pPr>
        <w:autoSpaceDE w:val="0"/>
        <w:autoSpaceDN w:val="0"/>
        <w:adjustRightInd w:val="0"/>
        <w:jc w:val="both"/>
        <w:rPr>
          <w:rFonts w:ascii="Titillium Up" w:hAnsi="Titillium Up"/>
          <w:sz w:val="24"/>
          <w:szCs w:val="24"/>
        </w:rPr>
      </w:pPr>
      <w:r w:rsidRPr="006F7F77">
        <w:rPr>
          <w:rFonts w:ascii="Titillium Up" w:hAnsi="Titillium Up"/>
          <w:sz w:val="24"/>
          <w:szCs w:val="24"/>
        </w:rPr>
        <w:t>Per tutte le opzioni sopra indicate è prevista GRATUITAMENTE la copertura assicurativa RC del Capofamiglia con le seguenti principali caratteristiche:</w:t>
      </w:r>
    </w:p>
    <w:p w14:paraId="58631DEC" w14:textId="77777777" w:rsidR="006F7F77" w:rsidRDefault="006F7F77" w:rsidP="006F7F77">
      <w:pPr>
        <w:autoSpaceDE w:val="0"/>
        <w:autoSpaceDN w:val="0"/>
        <w:adjustRightInd w:val="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6F7F77" w:rsidRPr="0080411B" w14:paraId="45D4F94E" w14:textId="77777777" w:rsidTr="00CA00CA">
        <w:tc>
          <w:tcPr>
            <w:tcW w:w="4820" w:type="dxa"/>
          </w:tcPr>
          <w:p w14:paraId="6D7FDEC4" w14:textId="77777777" w:rsidR="006F7F77" w:rsidRPr="006F7F77" w:rsidRDefault="006F7F77" w:rsidP="00CA00CA">
            <w:pPr>
              <w:autoSpaceDE w:val="0"/>
              <w:autoSpaceDN w:val="0"/>
              <w:adjustRightInd w:val="0"/>
              <w:jc w:val="center"/>
              <w:rPr>
                <w:rFonts w:ascii="Titillium Up" w:hAnsi="Titillium Up"/>
                <w:b/>
                <w:sz w:val="24"/>
                <w:szCs w:val="24"/>
              </w:rPr>
            </w:pPr>
            <w:r w:rsidRPr="006F7F77">
              <w:rPr>
                <w:rFonts w:ascii="Titillium Up" w:hAnsi="Titillium Up"/>
                <w:b/>
                <w:sz w:val="24"/>
                <w:szCs w:val="24"/>
              </w:rPr>
              <w:lastRenderedPageBreak/>
              <w:t>Massimale</w:t>
            </w:r>
          </w:p>
        </w:tc>
        <w:tc>
          <w:tcPr>
            <w:tcW w:w="4961" w:type="dxa"/>
          </w:tcPr>
          <w:p w14:paraId="5D9204F4" w14:textId="77777777" w:rsidR="006F7F77" w:rsidRPr="006F7F77" w:rsidRDefault="006F7F77" w:rsidP="00CA00CA">
            <w:pPr>
              <w:autoSpaceDE w:val="0"/>
              <w:autoSpaceDN w:val="0"/>
              <w:adjustRightInd w:val="0"/>
              <w:jc w:val="center"/>
              <w:rPr>
                <w:rFonts w:ascii="Titillium Up" w:hAnsi="Titillium Up"/>
                <w:b/>
                <w:sz w:val="24"/>
                <w:szCs w:val="24"/>
              </w:rPr>
            </w:pPr>
            <w:r w:rsidRPr="006F7F77">
              <w:rPr>
                <w:rFonts w:ascii="Titillium Up" w:hAnsi="Titillium Up"/>
                <w:b/>
                <w:sz w:val="24"/>
                <w:szCs w:val="24"/>
              </w:rPr>
              <w:t>Scoperto a carico dell’assicurato</w:t>
            </w:r>
          </w:p>
        </w:tc>
      </w:tr>
      <w:tr w:rsidR="006F7F77" w:rsidRPr="0080411B" w14:paraId="226E9C5E" w14:textId="77777777" w:rsidTr="00CA00CA">
        <w:tc>
          <w:tcPr>
            <w:tcW w:w="4820" w:type="dxa"/>
          </w:tcPr>
          <w:p w14:paraId="166CF80F" w14:textId="77777777" w:rsidR="006F7F77" w:rsidRPr="006F7F77" w:rsidRDefault="006F7F77" w:rsidP="00CA00CA">
            <w:pPr>
              <w:autoSpaceDE w:val="0"/>
              <w:autoSpaceDN w:val="0"/>
              <w:adjustRightInd w:val="0"/>
              <w:jc w:val="center"/>
              <w:rPr>
                <w:rFonts w:ascii="Titillium Up" w:hAnsi="Titillium Up"/>
                <w:b/>
                <w:sz w:val="24"/>
                <w:szCs w:val="24"/>
              </w:rPr>
            </w:pPr>
            <w:r w:rsidRPr="006F7F77">
              <w:rPr>
                <w:rFonts w:ascii="Titillium Up" w:hAnsi="Titillium Up"/>
                <w:b/>
                <w:sz w:val="24"/>
                <w:szCs w:val="24"/>
              </w:rPr>
              <w:t xml:space="preserve">€ 250.000,00 per anno </w:t>
            </w:r>
          </w:p>
          <w:p w14:paraId="6D751F4E" w14:textId="77777777" w:rsidR="006F7F77" w:rsidRPr="006F7F77" w:rsidRDefault="006F7F77" w:rsidP="00CA00CA">
            <w:pPr>
              <w:autoSpaceDE w:val="0"/>
              <w:autoSpaceDN w:val="0"/>
              <w:adjustRightInd w:val="0"/>
              <w:jc w:val="center"/>
              <w:rPr>
                <w:rFonts w:ascii="Titillium Up" w:hAnsi="Titillium Up"/>
                <w:b/>
                <w:sz w:val="24"/>
                <w:szCs w:val="24"/>
              </w:rPr>
            </w:pPr>
            <w:r w:rsidRPr="006F7F77">
              <w:rPr>
                <w:rFonts w:ascii="Titillium Up" w:hAnsi="Titillium Up"/>
                <w:b/>
                <w:sz w:val="24"/>
                <w:szCs w:val="24"/>
              </w:rPr>
              <w:t xml:space="preserve">     € 50.000,00 per sinistro</w:t>
            </w:r>
          </w:p>
        </w:tc>
        <w:tc>
          <w:tcPr>
            <w:tcW w:w="4961" w:type="dxa"/>
            <w:tcBorders>
              <w:bottom w:val="single" w:sz="4" w:space="0" w:color="auto"/>
            </w:tcBorders>
          </w:tcPr>
          <w:p w14:paraId="413ED498" w14:textId="77777777" w:rsidR="006F7F77" w:rsidRPr="006F7F77" w:rsidRDefault="006F7F77" w:rsidP="00CA00CA">
            <w:pPr>
              <w:autoSpaceDE w:val="0"/>
              <w:autoSpaceDN w:val="0"/>
              <w:adjustRightInd w:val="0"/>
              <w:jc w:val="center"/>
              <w:rPr>
                <w:rFonts w:ascii="Titillium Up" w:hAnsi="Titillium Up"/>
                <w:b/>
                <w:sz w:val="24"/>
                <w:szCs w:val="24"/>
              </w:rPr>
            </w:pPr>
            <w:r w:rsidRPr="006F7F77">
              <w:rPr>
                <w:rFonts w:ascii="Titillium Up" w:hAnsi="Titillium Up"/>
                <w:b/>
                <w:sz w:val="24"/>
                <w:szCs w:val="24"/>
              </w:rPr>
              <w:t>10% con una Franchigia fissa di € 250,00</w:t>
            </w:r>
          </w:p>
        </w:tc>
      </w:tr>
    </w:tbl>
    <w:p w14:paraId="08719120" w14:textId="77777777" w:rsid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69" w:name="_Toc24734011"/>
    </w:p>
    <w:p w14:paraId="07D93D57" w14:textId="77777777" w:rsid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p>
    <w:p w14:paraId="3412D560" w14:textId="77777777" w:rsidR="006F7F77" w:rsidRP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r w:rsidRPr="006F7F77">
        <w:rPr>
          <w:rFonts w:ascii="Titillium Up" w:hAnsi="Titillium Up" w:cs="Arial"/>
          <w:b/>
          <w:bCs/>
          <w:caps/>
          <w:color w:val="0070C0"/>
          <w:w w:val="94"/>
          <w:sz w:val="28"/>
          <w:szCs w:val="28"/>
        </w:rPr>
        <w:t>4.11 Regolazione Del Premio</w:t>
      </w:r>
      <w:bookmarkEnd w:id="68"/>
      <w:bookmarkEnd w:id="69"/>
    </w:p>
    <w:p w14:paraId="51908224" w14:textId="77777777" w:rsidR="006F7F77" w:rsidRPr="006F7F77" w:rsidRDefault="006F7F77" w:rsidP="006F7F77">
      <w:pPr>
        <w:autoSpaceDE w:val="0"/>
        <w:autoSpaceDN w:val="0"/>
        <w:adjustRightInd w:val="0"/>
        <w:ind w:left="426"/>
        <w:jc w:val="both"/>
        <w:rPr>
          <w:rFonts w:ascii="Titillium Up" w:hAnsi="Titillium Up"/>
          <w:sz w:val="24"/>
          <w:szCs w:val="24"/>
        </w:rPr>
      </w:pPr>
      <w:r w:rsidRPr="006F7F77">
        <w:rPr>
          <w:rFonts w:ascii="Titillium Up" w:hAnsi="Titillium Up"/>
          <w:sz w:val="24"/>
          <w:szCs w:val="24"/>
        </w:rPr>
        <w:t>AMINTA s.r.l. ha l’obbligo di comunicare l’elenco degli Assicurati al 31.01, 31.03, 30.06 e al 31.12 ai fini del computo della regolazione del premio; resta inteso che eventuali mancate comunicazioni per disguidi o smarrimenti non invalidano la copertura, fermo restando l’obbligo di provare l’emissione del bonifico.</w:t>
      </w:r>
    </w:p>
    <w:p w14:paraId="2FDD76BF" w14:textId="77777777" w:rsidR="006F7F77" w:rsidRPr="006F7F77" w:rsidRDefault="006F7F77" w:rsidP="006F7F77">
      <w:pPr>
        <w:autoSpaceDE w:val="0"/>
        <w:autoSpaceDN w:val="0"/>
        <w:adjustRightInd w:val="0"/>
        <w:ind w:left="426"/>
        <w:jc w:val="both"/>
        <w:rPr>
          <w:rFonts w:ascii="Titillium Up" w:hAnsi="Titillium Up"/>
          <w:sz w:val="24"/>
          <w:szCs w:val="24"/>
        </w:rPr>
      </w:pPr>
      <w:r w:rsidRPr="006F7F77">
        <w:rPr>
          <w:rFonts w:ascii="Titillium Up" w:hAnsi="Titillium Up"/>
          <w:sz w:val="24"/>
          <w:szCs w:val="24"/>
        </w:rPr>
        <w:t>La Società, appena in possesso delle adesioni, provvederà ad emettere appendice per l’incasso del relativo premio che dovrà essere perfezionato dalla Contraente entro 30 giorni dalla data di emissione.</w:t>
      </w:r>
    </w:p>
    <w:p w14:paraId="5E2144CB" w14:textId="77777777" w:rsidR="006F7F77" w:rsidRPr="006F7F77" w:rsidRDefault="006F7F77" w:rsidP="006F7F77">
      <w:pPr>
        <w:autoSpaceDE w:val="0"/>
        <w:autoSpaceDN w:val="0"/>
        <w:adjustRightInd w:val="0"/>
        <w:ind w:left="426"/>
        <w:jc w:val="both"/>
        <w:rPr>
          <w:rFonts w:ascii="Titillium Up" w:hAnsi="Titillium Up"/>
          <w:sz w:val="24"/>
          <w:szCs w:val="24"/>
        </w:rPr>
      </w:pPr>
      <w:r w:rsidRPr="006F7F77">
        <w:rPr>
          <w:rFonts w:ascii="Titillium Up" w:hAnsi="Titillium Up"/>
          <w:sz w:val="24"/>
          <w:szCs w:val="24"/>
        </w:rPr>
        <w:t>Per il primo periodo di assicurazione la regolazione avviene entro il decimo giorno successivo a quello del mese in cui essa si verifica.</w:t>
      </w:r>
    </w:p>
    <w:p w14:paraId="3D58FD8F" w14:textId="77777777" w:rsidR="006F7F77" w:rsidRPr="006F7F77" w:rsidRDefault="006F7F77" w:rsidP="006F7F77">
      <w:pPr>
        <w:autoSpaceDE w:val="0"/>
        <w:autoSpaceDN w:val="0"/>
        <w:adjustRightInd w:val="0"/>
        <w:rPr>
          <w:rFonts w:ascii="Titillium Up" w:hAnsi="Titillium Up"/>
          <w:sz w:val="24"/>
          <w:szCs w:val="24"/>
        </w:rPr>
      </w:pPr>
    </w:p>
    <w:p w14:paraId="1A041A50" w14:textId="77777777" w:rsidR="006F7F77" w:rsidRP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70" w:name="_Toc373398551"/>
      <w:bookmarkStart w:id="71" w:name="_Toc24734012"/>
      <w:r w:rsidRPr="006F7F77">
        <w:rPr>
          <w:rFonts w:ascii="Titillium Up" w:hAnsi="Titillium Up" w:cs="Arial"/>
          <w:b/>
          <w:bCs/>
          <w:caps/>
          <w:color w:val="0070C0"/>
          <w:w w:val="94"/>
          <w:sz w:val="28"/>
          <w:szCs w:val="28"/>
        </w:rPr>
        <w:t>4.12 Rinvio alle norme di legge</w:t>
      </w:r>
      <w:bookmarkEnd w:id="70"/>
      <w:bookmarkEnd w:id="71"/>
    </w:p>
    <w:p w14:paraId="2A722DDB" w14:textId="77777777" w:rsidR="006F7F77" w:rsidRPr="006F7F77" w:rsidRDefault="006F7F77" w:rsidP="006F7F77">
      <w:pPr>
        <w:autoSpaceDE w:val="0"/>
        <w:autoSpaceDN w:val="0"/>
        <w:adjustRightInd w:val="0"/>
        <w:ind w:left="426"/>
        <w:rPr>
          <w:rFonts w:ascii="Titillium Up" w:hAnsi="Titillium Up"/>
          <w:sz w:val="24"/>
          <w:szCs w:val="24"/>
        </w:rPr>
      </w:pPr>
      <w:r w:rsidRPr="006F7F77">
        <w:rPr>
          <w:rFonts w:ascii="Titillium Up" w:hAnsi="Titillium Up"/>
          <w:sz w:val="24"/>
          <w:szCs w:val="24"/>
        </w:rPr>
        <w:t>Per tutto quanto non è qui diversamente regolato, valgono le norme di legge.</w:t>
      </w:r>
    </w:p>
    <w:p w14:paraId="7955E646" w14:textId="77777777" w:rsidR="006F7F77" w:rsidRPr="006F7F77" w:rsidRDefault="006F7F77" w:rsidP="006F7F77">
      <w:pPr>
        <w:autoSpaceDE w:val="0"/>
        <w:autoSpaceDN w:val="0"/>
        <w:adjustRightInd w:val="0"/>
        <w:rPr>
          <w:rFonts w:ascii="Titillium Up" w:hAnsi="Titillium Up"/>
          <w:sz w:val="24"/>
          <w:szCs w:val="24"/>
        </w:rPr>
      </w:pPr>
    </w:p>
    <w:p w14:paraId="6F7002B7" w14:textId="77777777" w:rsidR="006F7F77" w:rsidRP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72" w:name="_Toc373398552"/>
      <w:bookmarkStart w:id="73" w:name="_Toc24734013"/>
      <w:r w:rsidRPr="006F7F77">
        <w:rPr>
          <w:rFonts w:ascii="Titillium Up" w:hAnsi="Titillium Up" w:cs="Arial"/>
          <w:b/>
          <w:bCs/>
          <w:caps/>
          <w:color w:val="0070C0"/>
          <w:w w:val="94"/>
          <w:sz w:val="28"/>
          <w:szCs w:val="28"/>
        </w:rPr>
        <w:t>4.13 Interpretazione del contratto</w:t>
      </w:r>
      <w:bookmarkEnd w:id="72"/>
      <w:bookmarkEnd w:id="73"/>
    </w:p>
    <w:p w14:paraId="372506EA" w14:textId="77777777" w:rsidR="006F7F77" w:rsidRPr="006F7F77" w:rsidRDefault="006F7F77" w:rsidP="006F7F77">
      <w:pPr>
        <w:autoSpaceDE w:val="0"/>
        <w:autoSpaceDN w:val="0"/>
        <w:adjustRightInd w:val="0"/>
        <w:ind w:left="426"/>
        <w:jc w:val="both"/>
        <w:rPr>
          <w:rFonts w:ascii="Titillium Up" w:hAnsi="Titillium Up"/>
          <w:sz w:val="24"/>
          <w:szCs w:val="24"/>
        </w:rPr>
      </w:pPr>
      <w:r w:rsidRPr="006F7F77">
        <w:rPr>
          <w:rFonts w:ascii="Titillium Up" w:hAnsi="Titillium Up"/>
          <w:sz w:val="24"/>
          <w:szCs w:val="24"/>
        </w:rPr>
        <w:t>Si conviene fra le Parti che in caso di dubbia interpretazione delle norme contrattuali verrà data l'interpretazione più estensiva e più favorevole al Contraente/Assicurato su quanto contemplato dalle condizioni tutte di assicurazione.</w:t>
      </w:r>
    </w:p>
    <w:p w14:paraId="32839D82" w14:textId="77777777" w:rsidR="00B30691" w:rsidRPr="006F7F77" w:rsidRDefault="00B30691" w:rsidP="006F7F77">
      <w:pPr>
        <w:autoSpaceDE w:val="0"/>
        <w:autoSpaceDN w:val="0"/>
        <w:adjustRightInd w:val="0"/>
        <w:ind w:left="426"/>
        <w:rPr>
          <w:rFonts w:ascii="Titillium Up" w:hAnsi="Titillium Up"/>
          <w:sz w:val="24"/>
          <w:szCs w:val="24"/>
        </w:rPr>
      </w:pPr>
    </w:p>
    <w:p w14:paraId="7E3E48EF" w14:textId="77777777" w:rsidR="006F7F77" w:rsidRP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74" w:name="_Toc373398579"/>
      <w:bookmarkStart w:id="75" w:name="_Toc24734014"/>
      <w:r w:rsidRPr="006F7F77">
        <w:rPr>
          <w:rFonts w:ascii="Titillium Up" w:hAnsi="Titillium Up" w:cs="Arial"/>
          <w:b/>
          <w:bCs/>
          <w:caps/>
          <w:color w:val="0070C0"/>
          <w:w w:val="94"/>
          <w:sz w:val="28"/>
          <w:szCs w:val="28"/>
        </w:rPr>
        <w:t>4.14 Clausola Arbitrale</w:t>
      </w:r>
      <w:bookmarkEnd w:id="74"/>
      <w:bookmarkEnd w:id="75"/>
    </w:p>
    <w:p w14:paraId="3680E852" w14:textId="77777777" w:rsidR="006F7F77" w:rsidRPr="006F7F77" w:rsidRDefault="006F7F77" w:rsidP="006F7F77">
      <w:pPr>
        <w:autoSpaceDE w:val="0"/>
        <w:autoSpaceDN w:val="0"/>
        <w:adjustRightInd w:val="0"/>
        <w:ind w:left="360"/>
        <w:jc w:val="both"/>
        <w:rPr>
          <w:rFonts w:ascii="Titillium Up" w:hAnsi="Titillium Up"/>
          <w:sz w:val="24"/>
          <w:szCs w:val="24"/>
        </w:rPr>
      </w:pPr>
      <w:r w:rsidRPr="006F7F77">
        <w:rPr>
          <w:rFonts w:ascii="Titillium Up" w:hAnsi="Titillium Up"/>
          <w:sz w:val="24"/>
          <w:szCs w:val="24"/>
        </w:rPr>
        <w:t xml:space="preserve">Tutte le controversie che dovessero insorgere in relazione al presente contratto, comprese quelle inerenti alla sua validità, interpretazione, esecuzione e risoluzione, saranno sottoposte ad arbitrato rituale, secondo il regolamento della Camera Arbitrale del Piemonte. </w:t>
      </w:r>
    </w:p>
    <w:p w14:paraId="0A5D500F" w14:textId="77777777" w:rsidR="006F7F77" w:rsidRPr="006F7F77" w:rsidRDefault="006F7F77" w:rsidP="006F7F77">
      <w:pPr>
        <w:autoSpaceDE w:val="0"/>
        <w:autoSpaceDN w:val="0"/>
        <w:adjustRightInd w:val="0"/>
        <w:ind w:left="360"/>
        <w:jc w:val="both"/>
        <w:rPr>
          <w:rFonts w:ascii="Titillium Up" w:hAnsi="Titillium Up"/>
          <w:sz w:val="24"/>
          <w:szCs w:val="24"/>
        </w:rPr>
      </w:pPr>
      <w:r w:rsidRPr="006F7F77">
        <w:rPr>
          <w:rFonts w:ascii="Titillium Up" w:hAnsi="Titillium Up"/>
          <w:sz w:val="24"/>
          <w:szCs w:val="24"/>
        </w:rPr>
        <w:t>Per le controversie di valore inferiore a € 150.000,00 l’arbitrato si svolgerà secondo la procedura di arbitrato rapido di diritto.</w:t>
      </w:r>
    </w:p>
    <w:p w14:paraId="38D500C1" w14:textId="77777777" w:rsidR="006F7F77" w:rsidRPr="006F7F77" w:rsidRDefault="006F7F77" w:rsidP="006F7F77">
      <w:pPr>
        <w:autoSpaceDE w:val="0"/>
        <w:autoSpaceDN w:val="0"/>
        <w:adjustRightInd w:val="0"/>
        <w:ind w:left="360"/>
        <w:jc w:val="both"/>
        <w:rPr>
          <w:rFonts w:ascii="Titillium Up" w:hAnsi="Titillium Up"/>
          <w:sz w:val="24"/>
          <w:szCs w:val="24"/>
        </w:rPr>
      </w:pPr>
      <w:r w:rsidRPr="006F7F77">
        <w:rPr>
          <w:rFonts w:ascii="Titillium Up" w:hAnsi="Titillium Up"/>
          <w:sz w:val="24"/>
          <w:szCs w:val="24"/>
        </w:rPr>
        <w:t>Nel caso di controversie il cui valore ecceda € 150.000,00, l’arbitrato si svolgerà secondo la procedura di arbitrato ordinario di diritto e la decisione rimessa ad un collegio di tre arbitri.</w:t>
      </w:r>
    </w:p>
    <w:p w14:paraId="5E8AB385" w14:textId="77777777" w:rsidR="006F7F77" w:rsidRPr="006F7F77" w:rsidRDefault="006F7F77" w:rsidP="006F7F77">
      <w:pPr>
        <w:autoSpaceDE w:val="0"/>
        <w:autoSpaceDN w:val="0"/>
        <w:adjustRightInd w:val="0"/>
        <w:ind w:left="360"/>
        <w:jc w:val="both"/>
        <w:rPr>
          <w:rFonts w:ascii="Titillium Up" w:hAnsi="Titillium Up"/>
          <w:sz w:val="24"/>
          <w:szCs w:val="24"/>
        </w:rPr>
      </w:pPr>
      <w:r w:rsidRPr="006F7F77">
        <w:rPr>
          <w:rFonts w:ascii="Titillium Up" w:hAnsi="Titillium Up"/>
          <w:sz w:val="24"/>
          <w:szCs w:val="24"/>
        </w:rPr>
        <w:t>Le parti si impegnano a dare pronta e puntuale esecuzione alla decisione degli Arbitri che sin da ora riconoscono come espressione della loro volontà contrattuale.</w:t>
      </w:r>
    </w:p>
    <w:p w14:paraId="0A15D321" w14:textId="77777777" w:rsidR="006F7F77" w:rsidRPr="006F7F77" w:rsidRDefault="006F7F77" w:rsidP="006F7F77">
      <w:pPr>
        <w:autoSpaceDE w:val="0"/>
        <w:autoSpaceDN w:val="0"/>
        <w:adjustRightInd w:val="0"/>
        <w:ind w:left="360"/>
        <w:jc w:val="both"/>
        <w:rPr>
          <w:rFonts w:ascii="Titillium Up" w:hAnsi="Titillium Up"/>
          <w:sz w:val="24"/>
          <w:szCs w:val="24"/>
        </w:rPr>
      </w:pPr>
      <w:r w:rsidRPr="006F7F77">
        <w:rPr>
          <w:rFonts w:ascii="Titillium Up" w:hAnsi="Titillium Up"/>
          <w:sz w:val="24"/>
          <w:szCs w:val="24"/>
        </w:rPr>
        <w:t>Ciascuna delle Parti sostiene le spese del proprio Arbitro; quelle del terzo Arbitro sono ripartite a metà.</w:t>
      </w:r>
    </w:p>
    <w:p w14:paraId="02515C5A" w14:textId="77777777" w:rsidR="006F7F77" w:rsidRPr="006F7F77" w:rsidRDefault="006F7F77" w:rsidP="006F7F77">
      <w:pPr>
        <w:autoSpaceDE w:val="0"/>
        <w:autoSpaceDN w:val="0"/>
        <w:adjustRightInd w:val="0"/>
        <w:ind w:left="360"/>
        <w:jc w:val="both"/>
        <w:rPr>
          <w:rFonts w:ascii="Titillium Up" w:hAnsi="Titillium Up"/>
          <w:sz w:val="24"/>
          <w:szCs w:val="24"/>
        </w:rPr>
      </w:pPr>
      <w:r w:rsidRPr="006F7F77">
        <w:rPr>
          <w:rFonts w:ascii="Titillium Up" w:hAnsi="Titillium Up"/>
          <w:sz w:val="24"/>
          <w:szCs w:val="24"/>
        </w:rPr>
        <w:t>La sede dell’arbitrato sarà in TORINO presso la Segreteria della Camera Arbitrale del Piemonte.</w:t>
      </w:r>
    </w:p>
    <w:p w14:paraId="0650A77D" w14:textId="77777777" w:rsidR="006F7F77" w:rsidRPr="006F7F77" w:rsidRDefault="006F7F77" w:rsidP="006F7F77">
      <w:pPr>
        <w:autoSpaceDE w:val="0"/>
        <w:autoSpaceDN w:val="0"/>
        <w:adjustRightInd w:val="0"/>
        <w:ind w:left="360"/>
        <w:jc w:val="both"/>
        <w:rPr>
          <w:rFonts w:ascii="Titillium Up" w:hAnsi="Titillium Up"/>
          <w:sz w:val="24"/>
          <w:szCs w:val="24"/>
        </w:rPr>
      </w:pPr>
    </w:p>
    <w:p w14:paraId="5F362221" w14:textId="77777777" w:rsidR="006F7F77" w:rsidRP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76" w:name="_Toc23843815"/>
      <w:bookmarkStart w:id="77" w:name="_Toc24734015"/>
      <w:r w:rsidRPr="006F7F77">
        <w:rPr>
          <w:rFonts w:ascii="Titillium Up" w:hAnsi="Titillium Up" w:cs="Arial"/>
          <w:b/>
          <w:bCs/>
          <w:caps/>
          <w:color w:val="0070C0"/>
          <w:w w:val="94"/>
          <w:sz w:val="28"/>
          <w:szCs w:val="28"/>
        </w:rPr>
        <w:t>4.15 Esclusione Rischio Cyber</w:t>
      </w:r>
      <w:bookmarkEnd w:id="76"/>
      <w:bookmarkEnd w:id="77"/>
    </w:p>
    <w:p w14:paraId="3AC833E8" w14:textId="77777777" w:rsidR="006F7F77" w:rsidRPr="006F7F77" w:rsidRDefault="006F7F77" w:rsidP="006F7F77">
      <w:pPr>
        <w:ind w:left="426"/>
        <w:rPr>
          <w:rFonts w:ascii="Titillium Up" w:hAnsi="Titillium Up"/>
          <w:color w:val="000000"/>
          <w:sz w:val="24"/>
          <w:szCs w:val="24"/>
        </w:rPr>
      </w:pPr>
      <w:r w:rsidRPr="006F7F77">
        <w:rPr>
          <w:rFonts w:ascii="Titillium Up" w:hAnsi="Titillium Up"/>
          <w:color w:val="000000"/>
          <w:sz w:val="24"/>
          <w:szCs w:val="24"/>
        </w:rPr>
        <w:t>Le seguenti esclusioni si applicano a tutte le sezioni della polizza. La Compagnia non pagherà alcun reclamo o circostanza o perdita, direttamente o indirettamente, causati e / o contribuiti da o derivanti da:</w:t>
      </w:r>
    </w:p>
    <w:p w14:paraId="2D7C135D" w14:textId="77777777" w:rsidR="006F7F77" w:rsidRPr="006F7F77" w:rsidRDefault="006F7F77" w:rsidP="00B30691">
      <w:pPr>
        <w:numPr>
          <w:ilvl w:val="0"/>
          <w:numId w:val="49"/>
        </w:numPr>
        <w:tabs>
          <w:tab w:val="left" w:pos="426"/>
          <w:tab w:val="left" w:pos="851"/>
        </w:tabs>
        <w:ind w:left="851" w:hanging="425"/>
        <w:jc w:val="both"/>
        <w:rPr>
          <w:rFonts w:ascii="Titillium Up" w:hAnsi="Titillium Up"/>
          <w:color w:val="000000"/>
          <w:sz w:val="24"/>
          <w:szCs w:val="24"/>
        </w:rPr>
      </w:pPr>
      <w:r w:rsidRPr="006F7F77">
        <w:rPr>
          <w:rFonts w:ascii="Titillium Up" w:hAnsi="Titillium Up"/>
          <w:color w:val="000000"/>
          <w:sz w:val="24"/>
          <w:szCs w:val="24"/>
        </w:rPr>
        <w:t>l'alterazione, la modifica, la distorsione, la corruzione o il danneggiamento di qualsiasi computer o altra apparecchiatura o componente o sistema o articolo che elabora i negozi trasmette o riceve dati o parte di essi sia tangibili o intangibili (compresi, a titolo esemplificativo ma non esaustivo, informazioni o programmi o software); o</w:t>
      </w:r>
    </w:p>
    <w:p w14:paraId="0BFFA696" w14:textId="77777777" w:rsidR="006F7F77" w:rsidRPr="006F7F77" w:rsidRDefault="006F7F77" w:rsidP="00B30691">
      <w:pPr>
        <w:numPr>
          <w:ilvl w:val="0"/>
          <w:numId w:val="49"/>
        </w:numPr>
        <w:tabs>
          <w:tab w:val="left" w:pos="426"/>
          <w:tab w:val="left" w:pos="851"/>
        </w:tabs>
        <w:ind w:left="851" w:hanging="425"/>
        <w:jc w:val="both"/>
        <w:rPr>
          <w:rFonts w:ascii="Titillium Up" w:hAnsi="Titillium Up"/>
          <w:color w:val="000000"/>
          <w:sz w:val="24"/>
          <w:szCs w:val="24"/>
        </w:rPr>
      </w:pPr>
      <w:r w:rsidRPr="006F7F77">
        <w:rPr>
          <w:rFonts w:ascii="Titillium Up" w:hAnsi="Titillium Up"/>
          <w:color w:val="000000"/>
          <w:sz w:val="24"/>
          <w:szCs w:val="24"/>
        </w:rPr>
        <w:t>qualsiasi modifica di alterazione, cancellazione di distorsioni, corruzione di dati elaborati da tali computer o altre apparecchiature o componenti, sistemi o articoli; o</w:t>
      </w:r>
    </w:p>
    <w:p w14:paraId="69A68D20" w14:textId="77777777" w:rsidR="006F7F77" w:rsidRPr="006F7F77" w:rsidRDefault="006F7F77" w:rsidP="00B30691">
      <w:pPr>
        <w:numPr>
          <w:ilvl w:val="0"/>
          <w:numId w:val="49"/>
        </w:numPr>
        <w:tabs>
          <w:tab w:val="left" w:pos="426"/>
          <w:tab w:val="left" w:pos="851"/>
        </w:tabs>
        <w:ind w:left="851" w:hanging="425"/>
        <w:jc w:val="both"/>
        <w:rPr>
          <w:rFonts w:ascii="Titillium Up" w:hAnsi="Titillium Up"/>
          <w:color w:val="000000"/>
          <w:sz w:val="24"/>
          <w:szCs w:val="24"/>
        </w:rPr>
      </w:pPr>
      <w:r w:rsidRPr="006F7F77">
        <w:rPr>
          <w:rFonts w:ascii="Titillium Up" w:hAnsi="Titillium Up"/>
          <w:color w:val="000000"/>
          <w:sz w:val="24"/>
          <w:szCs w:val="24"/>
        </w:rPr>
        <w:lastRenderedPageBreak/>
        <w:t>qualsiasi perdita o perdita consequenziale, indipendentemente dal fatto che la vostra proprietà sia o meno, laddove tale perdita sia direttamente o indirettamente causata da o derivante da o derivante da o causata da un virus o meccanismo simile o hacking, phishing o rifiuto di attacco di servizio</w:t>
      </w:r>
      <w:r w:rsidR="00B30691">
        <w:rPr>
          <w:rFonts w:ascii="Titillium Up" w:hAnsi="Titillium Up"/>
          <w:color w:val="000000"/>
          <w:sz w:val="24"/>
          <w:szCs w:val="24"/>
        </w:rPr>
        <w:t>.</w:t>
      </w:r>
    </w:p>
    <w:p w14:paraId="3580ED27" w14:textId="77777777" w:rsidR="006F7F77" w:rsidRPr="006F7F77" w:rsidRDefault="006F7F77" w:rsidP="006F7F77">
      <w:pPr>
        <w:tabs>
          <w:tab w:val="left" w:pos="426"/>
        </w:tabs>
        <w:ind w:left="426"/>
        <w:jc w:val="both"/>
        <w:rPr>
          <w:rFonts w:ascii="Titillium Up" w:hAnsi="Titillium Up"/>
          <w:color w:val="000000"/>
          <w:sz w:val="24"/>
          <w:szCs w:val="24"/>
        </w:rPr>
      </w:pPr>
    </w:p>
    <w:p w14:paraId="2E16B38E" w14:textId="77777777" w:rsidR="006F7F77" w:rsidRPr="006F7F77" w:rsidRDefault="006F7F77" w:rsidP="006F7F77">
      <w:pPr>
        <w:tabs>
          <w:tab w:val="left" w:pos="426"/>
        </w:tabs>
        <w:ind w:left="426"/>
        <w:jc w:val="both"/>
        <w:rPr>
          <w:rFonts w:ascii="Titillium Up" w:hAnsi="Titillium Up"/>
          <w:b/>
          <w:bCs/>
          <w:color w:val="000000"/>
          <w:sz w:val="24"/>
          <w:szCs w:val="24"/>
        </w:rPr>
      </w:pPr>
      <w:r w:rsidRPr="006F7F77">
        <w:rPr>
          <w:rFonts w:ascii="Titillium Up" w:hAnsi="Titillium Up"/>
          <w:b/>
          <w:bCs/>
          <w:color w:val="000000"/>
          <w:sz w:val="24"/>
          <w:szCs w:val="24"/>
        </w:rPr>
        <w:t>Definizioni  specifiche:</w:t>
      </w:r>
    </w:p>
    <w:p w14:paraId="37F325E1" w14:textId="77777777" w:rsidR="006F7F77" w:rsidRPr="006F7F77" w:rsidRDefault="006F7F77" w:rsidP="006F7F77">
      <w:pPr>
        <w:tabs>
          <w:tab w:val="left" w:pos="426"/>
        </w:tabs>
        <w:ind w:left="426"/>
        <w:jc w:val="both"/>
        <w:rPr>
          <w:rFonts w:ascii="Titillium Up" w:hAnsi="Titillium Up"/>
          <w:color w:val="000000"/>
          <w:sz w:val="24"/>
          <w:szCs w:val="24"/>
        </w:rPr>
      </w:pPr>
      <w:r w:rsidRPr="006F7F77">
        <w:rPr>
          <w:rFonts w:ascii="Titillium Up" w:hAnsi="Titillium Up"/>
          <w:color w:val="000000"/>
          <w:sz w:val="24"/>
          <w:szCs w:val="24"/>
        </w:rPr>
        <w:t xml:space="preserve">Attacco </w:t>
      </w:r>
      <w:proofErr w:type="spellStart"/>
      <w:r w:rsidRPr="006F7F77">
        <w:rPr>
          <w:rFonts w:ascii="Titillium Up" w:hAnsi="Titillium Up"/>
          <w:color w:val="000000"/>
          <w:sz w:val="24"/>
          <w:szCs w:val="24"/>
        </w:rPr>
        <w:t>denial</w:t>
      </w:r>
      <w:proofErr w:type="spellEnd"/>
      <w:r w:rsidRPr="006F7F77">
        <w:rPr>
          <w:rFonts w:ascii="Titillium Up" w:hAnsi="Titillium Up"/>
          <w:color w:val="000000"/>
          <w:sz w:val="24"/>
          <w:szCs w:val="24"/>
        </w:rPr>
        <w:t xml:space="preserve"> of service: Qualsiasi azione o istruzione creata o generata con la capacità di danneggiare, interferire o influenzare in altro modo la disponibilità di reti, servizi di rete, connettività di rete o sistemi di informazione. Gli attacchi di tipo </w:t>
      </w:r>
      <w:proofErr w:type="spellStart"/>
      <w:r w:rsidRPr="006F7F77">
        <w:rPr>
          <w:rFonts w:ascii="Titillium Up" w:hAnsi="Titillium Up"/>
          <w:color w:val="000000"/>
          <w:sz w:val="24"/>
          <w:szCs w:val="24"/>
        </w:rPr>
        <w:t>Denial</w:t>
      </w:r>
      <w:proofErr w:type="spellEnd"/>
      <w:r w:rsidRPr="006F7F77">
        <w:rPr>
          <w:rFonts w:ascii="Titillium Up" w:hAnsi="Titillium Up"/>
          <w:color w:val="000000"/>
          <w:sz w:val="24"/>
          <w:szCs w:val="24"/>
        </w:rPr>
        <w:t xml:space="preserve"> of Service includono, ma non sono limitati a, la generazione di traffico in eccesso in indirizzi di rete, lo sfruttamento delle debolezze del sistema o della rete e la generazione di traffico in eccesso o non autentico tra e tra le reti.</w:t>
      </w:r>
    </w:p>
    <w:p w14:paraId="0600F3AC" w14:textId="77777777" w:rsidR="006F7F77" w:rsidRPr="006F7F77" w:rsidRDefault="006F7F77" w:rsidP="006F7F77">
      <w:pPr>
        <w:tabs>
          <w:tab w:val="left" w:pos="426"/>
        </w:tabs>
        <w:ind w:left="426"/>
        <w:jc w:val="both"/>
        <w:rPr>
          <w:rFonts w:ascii="Titillium Up" w:hAnsi="Titillium Up"/>
          <w:color w:val="000000"/>
          <w:sz w:val="24"/>
          <w:szCs w:val="24"/>
        </w:rPr>
      </w:pPr>
      <w:r w:rsidRPr="006F7F77">
        <w:rPr>
          <w:rFonts w:ascii="Titillium Up" w:hAnsi="Titillium Up"/>
          <w:color w:val="000000"/>
          <w:sz w:val="24"/>
          <w:szCs w:val="24"/>
        </w:rPr>
        <w:t xml:space="preserve"> </w:t>
      </w:r>
    </w:p>
    <w:p w14:paraId="6D90B32C" w14:textId="77777777" w:rsidR="006F7F77" w:rsidRPr="006F7F77" w:rsidRDefault="006F7F77" w:rsidP="006F7F77">
      <w:pPr>
        <w:tabs>
          <w:tab w:val="left" w:pos="426"/>
        </w:tabs>
        <w:ind w:left="426"/>
        <w:jc w:val="both"/>
        <w:rPr>
          <w:rFonts w:ascii="Titillium Up" w:hAnsi="Titillium Up"/>
          <w:color w:val="000000"/>
          <w:sz w:val="24"/>
          <w:szCs w:val="24"/>
        </w:rPr>
      </w:pPr>
      <w:r w:rsidRPr="006F7F77">
        <w:rPr>
          <w:rFonts w:ascii="Titillium Up" w:hAnsi="Titillium Up"/>
          <w:color w:val="000000"/>
          <w:sz w:val="24"/>
          <w:szCs w:val="24"/>
        </w:rPr>
        <w:t>Phishing: Qualsiasi accesso o tentativo di accesso a dati o informazioni ottenuti mediante falsa dichiarazione o inganno.</w:t>
      </w:r>
    </w:p>
    <w:p w14:paraId="633686D5" w14:textId="77777777" w:rsidR="006F7F77" w:rsidRPr="006F7F77" w:rsidRDefault="006F7F77" w:rsidP="006F7F77">
      <w:pPr>
        <w:tabs>
          <w:tab w:val="left" w:pos="426"/>
        </w:tabs>
        <w:ind w:left="426"/>
        <w:jc w:val="both"/>
        <w:rPr>
          <w:rFonts w:ascii="Titillium Up" w:hAnsi="Titillium Up"/>
          <w:color w:val="000000"/>
          <w:sz w:val="24"/>
          <w:szCs w:val="24"/>
        </w:rPr>
      </w:pPr>
      <w:r w:rsidRPr="006F7F77">
        <w:rPr>
          <w:rFonts w:ascii="Titillium Up" w:hAnsi="Titillium Up"/>
          <w:color w:val="000000"/>
          <w:sz w:val="24"/>
          <w:szCs w:val="24"/>
        </w:rPr>
        <w:t xml:space="preserve"> </w:t>
      </w:r>
    </w:p>
    <w:p w14:paraId="3DDF904A" w14:textId="77777777" w:rsidR="006F7F77" w:rsidRPr="006F7F77" w:rsidRDefault="006F7F77" w:rsidP="006F7F77">
      <w:pPr>
        <w:tabs>
          <w:tab w:val="left" w:pos="426"/>
        </w:tabs>
        <w:ind w:left="426"/>
        <w:jc w:val="both"/>
        <w:rPr>
          <w:rFonts w:ascii="Titillium Up" w:hAnsi="Titillium Up"/>
          <w:color w:val="000000"/>
          <w:sz w:val="24"/>
          <w:szCs w:val="24"/>
        </w:rPr>
      </w:pPr>
      <w:r w:rsidRPr="006F7F77">
        <w:rPr>
          <w:rFonts w:ascii="Titillium Up" w:hAnsi="Titillium Up"/>
          <w:color w:val="000000"/>
          <w:sz w:val="24"/>
          <w:szCs w:val="24"/>
        </w:rPr>
        <w:t xml:space="preserve">Virus: o meccanismo simile Codice di programma, istruzioni di programmazione o qualsiasi insieme di istruzioni intenzionalmente costruite con la capacità di danneggiare, interferire o comunque influenzare negativamente programmi informatici, file di dati o operazioni, indipendentemente dal fatto che comportino l'auto-replica o meno. Il significato di virus o meccanismo simile include, ma non è limitato a, worm </w:t>
      </w:r>
      <w:proofErr w:type="spellStart"/>
      <w:r w:rsidRPr="006F7F77">
        <w:rPr>
          <w:rFonts w:ascii="Titillium Up" w:hAnsi="Titillium Up"/>
          <w:color w:val="000000"/>
          <w:sz w:val="24"/>
          <w:szCs w:val="24"/>
        </w:rPr>
        <w:t>di</w:t>
      </w:r>
      <w:proofErr w:type="spellEnd"/>
      <w:r w:rsidRPr="006F7F77">
        <w:rPr>
          <w:rFonts w:ascii="Titillium Up" w:hAnsi="Titillium Up"/>
          <w:color w:val="000000"/>
          <w:sz w:val="24"/>
          <w:szCs w:val="24"/>
        </w:rPr>
        <w:t xml:space="preserve"> trojan </w:t>
      </w:r>
      <w:proofErr w:type="spellStart"/>
      <w:r w:rsidRPr="006F7F77">
        <w:rPr>
          <w:rFonts w:ascii="Titillium Up" w:hAnsi="Titillium Up"/>
          <w:color w:val="000000"/>
          <w:sz w:val="24"/>
          <w:szCs w:val="24"/>
        </w:rPr>
        <w:t>horse</w:t>
      </w:r>
      <w:proofErr w:type="spellEnd"/>
      <w:r w:rsidRPr="006F7F77">
        <w:rPr>
          <w:rFonts w:ascii="Titillium Up" w:hAnsi="Titillium Up"/>
          <w:color w:val="000000"/>
          <w:sz w:val="24"/>
          <w:szCs w:val="24"/>
        </w:rPr>
        <w:t xml:space="preserve"> e bombe logiche.</w:t>
      </w:r>
    </w:p>
    <w:p w14:paraId="44AF4AD6" w14:textId="77777777" w:rsidR="006F7F77" w:rsidRPr="006F7F77" w:rsidRDefault="006F7F77" w:rsidP="006F7F77">
      <w:pPr>
        <w:tabs>
          <w:tab w:val="left" w:pos="426"/>
        </w:tabs>
        <w:ind w:left="426"/>
        <w:jc w:val="both"/>
        <w:rPr>
          <w:rFonts w:ascii="Titillium Up" w:hAnsi="Titillium Up"/>
          <w:color w:val="000000"/>
          <w:sz w:val="24"/>
          <w:szCs w:val="24"/>
        </w:rPr>
      </w:pPr>
      <w:r w:rsidRPr="006F7F77">
        <w:rPr>
          <w:rFonts w:ascii="Titillium Up" w:hAnsi="Titillium Up"/>
          <w:color w:val="000000"/>
          <w:sz w:val="24"/>
          <w:szCs w:val="24"/>
        </w:rPr>
        <w:t xml:space="preserve"> </w:t>
      </w:r>
    </w:p>
    <w:p w14:paraId="13D6D96C" w14:textId="77777777" w:rsidR="006F7F77" w:rsidRPr="006F7F77" w:rsidRDefault="006F7F77" w:rsidP="006F7F77">
      <w:pPr>
        <w:tabs>
          <w:tab w:val="left" w:pos="426"/>
        </w:tabs>
        <w:ind w:left="426"/>
        <w:jc w:val="both"/>
        <w:rPr>
          <w:rFonts w:ascii="Titillium Up" w:hAnsi="Titillium Up"/>
          <w:color w:val="000000"/>
          <w:sz w:val="24"/>
          <w:szCs w:val="24"/>
        </w:rPr>
      </w:pPr>
      <w:r w:rsidRPr="006F7F77">
        <w:rPr>
          <w:rFonts w:ascii="Titillium Up" w:hAnsi="Titillium Up"/>
          <w:color w:val="000000"/>
          <w:sz w:val="24"/>
          <w:szCs w:val="24"/>
        </w:rPr>
        <w:t>Hacking: Accesso non autorizzato a qualsiasi computer o altra apparecchiatura o componente o sistema o elemento che elabora archivi o recupera dati, indipendentemente dal fatto che siano di proprietà dell'utente.</w:t>
      </w:r>
    </w:p>
    <w:p w14:paraId="345FCA5E" w14:textId="77777777" w:rsidR="006F7F77" w:rsidRPr="006F7F77" w:rsidRDefault="006F7F77" w:rsidP="006F7F77">
      <w:pPr>
        <w:rPr>
          <w:rFonts w:ascii="Titillium Up" w:hAnsi="Titillium Up"/>
        </w:rPr>
      </w:pPr>
    </w:p>
    <w:p w14:paraId="59E35296" w14:textId="77777777" w:rsidR="006F7F77" w:rsidRPr="006F7F77" w:rsidRDefault="006F7F77" w:rsidP="006F7F77">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s>
        <w:autoSpaceDE w:val="0"/>
        <w:autoSpaceDN w:val="0"/>
        <w:adjustRightInd w:val="0"/>
        <w:jc w:val="both"/>
        <w:textAlignment w:val="center"/>
        <w:rPr>
          <w:rFonts w:ascii="Titillium Up" w:hAnsi="Titillium Up" w:cs="Arial"/>
          <w:b/>
          <w:bCs/>
          <w:caps/>
          <w:color w:val="0070C0"/>
          <w:w w:val="94"/>
          <w:sz w:val="28"/>
          <w:szCs w:val="28"/>
        </w:rPr>
      </w:pPr>
      <w:bookmarkStart w:id="78" w:name="_Toc23843816"/>
      <w:bookmarkStart w:id="79" w:name="_Toc24734016"/>
      <w:r w:rsidRPr="006F7F77">
        <w:rPr>
          <w:rFonts w:ascii="Titillium Up" w:hAnsi="Titillium Up" w:cs="Arial"/>
          <w:b/>
          <w:bCs/>
          <w:caps/>
          <w:color w:val="0070C0"/>
          <w:w w:val="94"/>
          <w:sz w:val="28"/>
          <w:szCs w:val="28"/>
        </w:rPr>
        <w:t>4.16 Diritto Dell'assicurato Al Ripensamento</w:t>
      </w:r>
      <w:bookmarkEnd w:id="78"/>
      <w:bookmarkEnd w:id="79"/>
    </w:p>
    <w:p w14:paraId="00E4278D" w14:textId="77777777" w:rsidR="006F7F77" w:rsidRDefault="006F7F77" w:rsidP="006F7F77">
      <w:pPr>
        <w:ind w:left="426"/>
        <w:jc w:val="both"/>
        <w:rPr>
          <w:rFonts w:ascii="Titillium Up" w:eastAsia="Calibri" w:hAnsi="Titillium Up"/>
          <w:color w:val="000000"/>
          <w:sz w:val="24"/>
          <w:szCs w:val="24"/>
        </w:rPr>
      </w:pPr>
      <w:r w:rsidRPr="006F7F77">
        <w:rPr>
          <w:rFonts w:ascii="Titillium Up" w:eastAsia="Calibri" w:hAnsi="Titillium Up"/>
          <w:color w:val="000000"/>
          <w:sz w:val="24"/>
          <w:szCs w:val="24"/>
        </w:rPr>
        <w:t xml:space="preserve">L'Assicurato ha facoltà di recedere dal contratto con effetto sin dall’origine comunicandolo ad: AMINTA S.r.l. Corso Correnti 58/A 10136 TORINO, mediante lettera raccomandata entro 14 giorni dalla data di adesione, via pec all’indirizzo </w:t>
      </w:r>
      <w:r w:rsidRPr="006F7F77">
        <w:rPr>
          <w:rFonts w:ascii="Titillium Up" w:eastAsia="Calibri" w:hAnsi="Titillium Up"/>
          <w:b/>
          <w:bCs/>
          <w:color w:val="000000"/>
          <w:sz w:val="24"/>
          <w:szCs w:val="24"/>
        </w:rPr>
        <w:t>direzione@pec.amintabroker.com</w:t>
      </w:r>
      <w:r w:rsidRPr="006F7F77">
        <w:rPr>
          <w:rFonts w:ascii="Titillium Up" w:eastAsia="Calibri" w:hAnsi="Titillium Up"/>
          <w:color w:val="000000"/>
          <w:sz w:val="24"/>
          <w:szCs w:val="24"/>
        </w:rPr>
        <w:t>, via fax al numero 011.3299805, sempre che entro questo termine non si sia verificato un sinistro, ricevendo il rimborso del premio versato. </w:t>
      </w:r>
    </w:p>
    <w:p w14:paraId="4BCE04A5" w14:textId="77777777" w:rsidR="009A33FD" w:rsidRPr="006F7F77" w:rsidRDefault="009A33FD" w:rsidP="006F7F77">
      <w:pPr>
        <w:ind w:left="426"/>
        <w:jc w:val="both"/>
        <w:rPr>
          <w:rFonts w:ascii="Titillium Up" w:eastAsia="Calibri" w:hAnsi="Titillium Up"/>
          <w:color w:val="000000"/>
          <w:sz w:val="24"/>
          <w:szCs w:val="24"/>
        </w:rPr>
      </w:pPr>
    </w:p>
    <w:p w14:paraId="3994FF2A" w14:textId="77777777" w:rsidR="006F7F77" w:rsidRPr="006F7F77" w:rsidRDefault="006F7F77" w:rsidP="006F7F77">
      <w:pPr>
        <w:tabs>
          <w:tab w:val="left" w:pos="6379"/>
          <w:tab w:val="left" w:pos="6521"/>
        </w:tabs>
        <w:autoSpaceDE w:val="0"/>
        <w:autoSpaceDN w:val="0"/>
        <w:adjustRightInd w:val="0"/>
        <w:ind w:left="3900" w:firstLine="708"/>
        <w:rPr>
          <w:rFonts w:ascii="Titillium Up" w:hAnsi="Titillium Up"/>
          <w:b/>
          <w:bCs/>
          <w:sz w:val="24"/>
          <w:szCs w:val="24"/>
        </w:rPr>
      </w:pPr>
      <w:r w:rsidRPr="006F7F77">
        <w:rPr>
          <w:rFonts w:ascii="Titillium Up" w:hAnsi="Titillium Up"/>
          <w:sz w:val="24"/>
          <w:szCs w:val="24"/>
        </w:rPr>
        <w:t xml:space="preserve">                                    </w:t>
      </w:r>
      <w:r w:rsidRPr="006F7F77">
        <w:rPr>
          <w:rFonts w:ascii="Titillium Up" w:hAnsi="Titillium Up"/>
          <w:b/>
          <w:bCs/>
          <w:sz w:val="24"/>
          <w:szCs w:val="24"/>
        </w:rPr>
        <w:t>IL CONTRAENTE</w:t>
      </w:r>
    </w:p>
    <w:p w14:paraId="240DCFAB" w14:textId="77777777" w:rsidR="006F7F77" w:rsidRPr="006F7F77" w:rsidRDefault="006F7F77" w:rsidP="006F7F77">
      <w:pPr>
        <w:autoSpaceDE w:val="0"/>
        <w:autoSpaceDN w:val="0"/>
        <w:adjustRightInd w:val="0"/>
        <w:rPr>
          <w:rFonts w:ascii="Titillium Up" w:hAnsi="Titillium Up"/>
          <w:sz w:val="24"/>
          <w:szCs w:val="24"/>
        </w:rPr>
      </w:pPr>
    </w:p>
    <w:p w14:paraId="40E48BB1" w14:textId="77777777" w:rsidR="006F7F77" w:rsidRPr="006F7F77" w:rsidRDefault="006F7F77" w:rsidP="006F7F77">
      <w:pPr>
        <w:autoSpaceDE w:val="0"/>
        <w:autoSpaceDN w:val="0"/>
        <w:adjustRightInd w:val="0"/>
        <w:rPr>
          <w:rFonts w:ascii="Titillium Up" w:hAnsi="Titillium Up"/>
          <w:sz w:val="24"/>
          <w:szCs w:val="24"/>
        </w:rPr>
      </w:pPr>
      <w:r w:rsidRPr="006F7F77">
        <w:rPr>
          <w:rFonts w:ascii="Titillium Up" w:hAnsi="Titillium Up"/>
          <w:sz w:val="24"/>
          <w:szCs w:val="24"/>
        </w:rPr>
        <w:tab/>
      </w:r>
      <w:r w:rsidRPr="006F7F77">
        <w:rPr>
          <w:rFonts w:ascii="Titillium Up" w:hAnsi="Titillium Up"/>
          <w:sz w:val="24"/>
          <w:szCs w:val="24"/>
        </w:rPr>
        <w:tab/>
      </w:r>
      <w:r w:rsidRPr="006F7F77">
        <w:rPr>
          <w:rFonts w:ascii="Titillium Up" w:hAnsi="Titillium Up"/>
          <w:sz w:val="24"/>
          <w:szCs w:val="24"/>
        </w:rPr>
        <w:tab/>
      </w:r>
      <w:r w:rsidRPr="006F7F77">
        <w:rPr>
          <w:rFonts w:ascii="Titillium Up" w:hAnsi="Titillium Up"/>
          <w:sz w:val="24"/>
          <w:szCs w:val="24"/>
        </w:rPr>
        <w:tab/>
      </w:r>
      <w:r w:rsidRPr="006F7F77">
        <w:rPr>
          <w:rFonts w:ascii="Titillium Up" w:hAnsi="Titillium Up"/>
          <w:sz w:val="24"/>
          <w:szCs w:val="24"/>
        </w:rPr>
        <w:tab/>
      </w:r>
      <w:r w:rsidRPr="006F7F77">
        <w:rPr>
          <w:rFonts w:ascii="Titillium Up" w:hAnsi="Titillium Up"/>
          <w:sz w:val="24"/>
          <w:szCs w:val="24"/>
        </w:rPr>
        <w:tab/>
      </w:r>
      <w:r w:rsidRPr="006F7F77">
        <w:rPr>
          <w:rFonts w:ascii="Titillium Up" w:hAnsi="Titillium Up"/>
          <w:sz w:val="24"/>
          <w:szCs w:val="24"/>
        </w:rPr>
        <w:tab/>
      </w:r>
      <w:r w:rsidRPr="006F7F77">
        <w:rPr>
          <w:rFonts w:ascii="Titillium Up" w:hAnsi="Titillium Up"/>
          <w:sz w:val="24"/>
          <w:szCs w:val="24"/>
        </w:rPr>
        <w:tab/>
      </w:r>
      <w:r w:rsidRPr="006F7F77">
        <w:rPr>
          <w:rFonts w:ascii="Titillium Up" w:hAnsi="Titillium Up"/>
          <w:sz w:val="24"/>
          <w:szCs w:val="24"/>
        </w:rPr>
        <w:tab/>
        <w:t xml:space="preserve"> </w:t>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t>------------------------------------</w:t>
      </w:r>
    </w:p>
    <w:p w14:paraId="1ACFE476" w14:textId="77777777" w:rsidR="006F7F77" w:rsidRPr="006F7F77" w:rsidRDefault="006F7F77" w:rsidP="006F7F77">
      <w:pPr>
        <w:tabs>
          <w:tab w:val="left" w:pos="1686"/>
        </w:tabs>
        <w:autoSpaceDE w:val="0"/>
        <w:autoSpaceDN w:val="0"/>
        <w:adjustRightInd w:val="0"/>
        <w:rPr>
          <w:rFonts w:ascii="Titillium Up" w:hAnsi="Titillium Up"/>
          <w:sz w:val="24"/>
          <w:szCs w:val="24"/>
        </w:rPr>
      </w:pPr>
      <w:r w:rsidRPr="006F7F77">
        <w:rPr>
          <w:rFonts w:ascii="Titillium Up" w:hAnsi="Titillium Up"/>
          <w:sz w:val="24"/>
          <w:szCs w:val="24"/>
        </w:rPr>
        <w:tab/>
      </w:r>
    </w:p>
    <w:p w14:paraId="347C5092" w14:textId="77777777" w:rsidR="006F7F77" w:rsidRPr="006F7F77" w:rsidRDefault="006F7F77" w:rsidP="006F7F77">
      <w:pPr>
        <w:autoSpaceDE w:val="0"/>
        <w:autoSpaceDN w:val="0"/>
        <w:adjustRightInd w:val="0"/>
        <w:ind w:left="426"/>
        <w:jc w:val="both"/>
        <w:rPr>
          <w:rFonts w:ascii="Titillium Up" w:hAnsi="Titillium Up"/>
          <w:sz w:val="24"/>
          <w:szCs w:val="24"/>
        </w:rPr>
      </w:pPr>
      <w:r w:rsidRPr="006F7F77">
        <w:rPr>
          <w:rFonts w:ascii="Titillium Up" w:hAnsi="Titillium Up"/>
          <w:sz w:val="24"/>
          <w:szCs w:val="24"/>
        </w:rPr>
        <w:t xml:space="preserve">Il Contraente dichiara inoltre di aver ricevuto, prima della sottoscrizione della polizza, mediante apposito stampato, </w:t>
      </w:r>
      <w:r w:rsidR="00247D2C">
        <w:rPr>
          <w:rFonts w:ascii="Titillium Up" w:hAnsi="Titillium Up"/>
          <w:sz w:val="24"/>
          <w:szCs w:val="24"/>
        </w:rPr>
        <w:t>il set informativo</w:t>
      </w:r>
      <w:r w:rsidRPr="006F7F77">
        <w:rPr>
          <w:rFonts w:ascii="Titillium Up" w:hAnsi="Titillium Up"/>
          <w:sz w:val="24"/>
          <w:szCs w:val="24"/>
        </w:rPr>
        <w:t xml:space="preserve"> in merito a tutto quanto sopra elencato, di cui all’art. 123 D. Lgs. 17/03/1995 n. 175, e l’informativa sull’utilizzazione dei dati personali ai sensi del </w:t>
      </w:r>
      <w:proofErr w:type="spellStart"/>
      <w:r w:rsidRPr="006F7F77">
        <w:rPr>
          <w:rFonts w:ascii="Titillium Up" w:hAnsi="Titillium Up"/>
          <w:sz w:val="24"/>
          <w:szCs w:val="24"/>
        </w:rPr>
        <w:t>D.Lgs</w:t>
      </w:r>
      <w:proofErr w:type="spellEnd"/>
      <w:r w:rsidRPr="006F7F77">
        <w:rPr>
          <w:rFonts w:ascii="Titillium Up" w:hAnsi="Titillium Up"/>
          <w:sz w:val="24"/>
          <w:szCs w:val="24"/>
        </w:rPr>
        <w:t xml:space="preserve"> n. 196/2003.</w:t>
      </w:r>
    </w:p>
    <w:p w14:paraId="202BB261" w14:textId="77777777" w:rsidR="006F7F77" w:rsidRPr="006F7F77" w:rsidRDefault="006F7F77" w:rsidP="006F7F77">
      <w:pPr>
        <w:autoSpaceDE w:val="0"/>
        <w:autoSpaceDN w:val="0"/>
        <w:adjustRightInd w:val="0"/>
        <w:ind w:left="426"/>
        <w:jc w:val="both"/>
        <w:rPr>
          <w:rFonts w:ascii="Titillium Up" w:hAnsi="Titillium Up"/>
          <w:sz w:val="24"/>
          <w:szCs w:val="24"/>
        </w:rPr>
      </w:pPr>
      <w:r w:rsidRPr="006F7F77">
        <w:rPr>
          <w:rFonts w:ascii="Titillium Up" w:hAnsi="Titillium Up"/>
          <w:sz w:val="24"/>
          <w:szCs w:val="24"/>
        </w:rPr>
        <w:t>Il Contraente dichiara inoltre di aver verificato le condizioni contrattuali e di averle trovate consone alle proprie aspettative in relazione alle condizioni assicurative reperibili sul mercato.</w:t>
      </w:r>
    </w:p>
    <w:p w14:paraId="4766F5B3" w14:textId="77777777" w:rsidR="006F7F77" w:rsidRPr="006F7F77" w:rsidRDefault="006F7F77" w:rsidP="006F7F77">
      <w:pPr>
        <w:autoSpaceDE w:val="0"/>
        <w:autoSpaceDN w:val="0"/>
        <w:adjustRightInd w:val="0"/>
        <w:ind w:left="360"/>
        <w:jc w:val="both"/>
        <w:rPr>
          <w:rFonts w:ascii="Titillium Up" w:hAnsi="Titillium Up"/>
          <w:sz w:val="24"/>
          <w:szCs w:val="24"/>
        </w:rPr>
      </w:pPr>
    </w:p>
    <w:p w14:paraId="53ECB249" w14:textId="77777777" w:rsidR="006F7F77" w:rsidRPr="006F7F77" w:rsidRDefault="006F7F77" w:rsidP="006F7F77">
      <w:pPr>
        <w:autoSpaceDE w:val="0"/>
        <w:autoSpaceDN w:val="0"/>
        <w:adjustRightInd w:val="0"/>
        <w:ind w:left="360"/>
        <w:jc w:val="both"/>
        <w:rPr>
          <w:rFonts w:ascii="Titillium Up" w:hAnsi="Titillium Up"/>
          <w:sz w:val="24"/>
          <w:szCs w:val="24"/>
        </w:rPr>
      </w:pPr>
    </w:p>
    <w:p w14:paraId="3A8087B1" w14:textId="77777777" w:rsidR="006F7F77" w:rsidRPr="006F7F77" w:rsidRDefault="006F7F77" w:rsidP="006F7F77">
      <w:pPr>
        <w:autoSpaceDE w:val="0"/>
        <w:autoSpaceDN w:val="0"/>
        <w:adjustRightInd w:val="0"/>
        <w:ind w:left="360"/>
        <w:jc w:val="both"/>
        <w:rPr>
          <w:rFonts w:ascii="Titillium Up" w:hAnsi="Titillium Up"/>
          <w:b/>
          <w:sz w:val="24"/>
          <w:szCs w:val="24"/>
        </w:rPr>
      </w:pPr>
      <w:r w:rsidRPr="006F7F77">
        <w:rPr>
          <w:rFonts w:ascii="Titillium Up" w:hAnsi="Titillium Up"/>
          <w:sz w:val="24"/>
          <w:szCs w:val="24"/>
        </w:rPr>
        <w:tab/>
      </w:r>
      <w:r w:rsidRPr="006F7F77">
        <w:rPr>
          <w:rFonts w:ascii="Titillium Up" w:hAnsi="Titillium Up"/>
          <w:sz w:val="24"/>
          <w:szCs w:val="24"/>
        </w:rPr>
        <w:tab/>
      </w:r>
      <w:r w:rsidRPr="006F7F77">
        <w:rPr>
          <w:rFonts w:ascii="Titillium Up" w:hAnsi="Titillium Up"/>
          <w:sz w:val="24"/>
          <w:szCs w:val="24"/>
        </w:rPr>
        <w:tab/>
      </w:r>
      <w:r w:rsidRPr="006F7F77">
        <w:rPr>
          <w:rFonts w:ascii="Titillium Up" w:hAnsi="Titillium Up"/>
          <w:sz w:val="24"/>
          <w:szCs w:val="24"/>
        </w:rPr>
        <w:tab/>
      </w:r>
      <w:r w:rsidRPr="006F7F77">
        <w:rPr>
          <w:rFonts w:ascii="Titillium Up" w:hAnsi="Titillium Up"/>
          <w:sz w:val="24"/>
          <w:szCs w:val="24"/>
        </w:rPr>
        <w:tab/>
      </w:r>
      <w:r w:rsidRPr="006F7F77">
        <w:rPr>
          <w:rFonts w:ascii="Titillium Up" w:hAnsi="Titillium Up"/>
          <w:sz w:val="24"/>
          <w:szCs w:val="24"/>
        </w:rPr>
        <w:tab/>
      </w:r>
      <w:r w:rsidRPr="006F7F77">
        <w:rPr>
          <w:rFonts w:ascii="Titillium Up" w:hAnsi="Titillium Up"/>
          <w:sz w:val="24"/>
          <w:szCs w:val="24"/>
        </w:rPr>
        <w:tab/>
      </w:r>
      <w:r w:rsidRPr="006F7F77">
        <w:rPr>
          <w:rFonts w:ascii="Titillium Up" w:hAnsi="Titillium Up"/>
          <w:sz w:val="24"/>
          <w:szCs w:val="24"/>
        </w:rPr>
        <w:tab/>
      </w:r>
      <w:r w:rsidRPr="006F7F77">
        <w:rPr>
          <w:rFonts w:ascii="Titillium Up" w:hAnsi="Titillium Up"/>
          <w:sz w:val="24"/>
          <w:szCs w:val="24"/>
        </w:rPr>
        <w:tab/>
        <w:t xml:space="preserve">        </w:t>
      </w:r>
      <w:r w:rsidRPr="006F7F77">
        <w:rPr>
          <w:rFonts w:ascii="Titillium Up" w:hAnsi="Titillium Up"/>
          <w:b/>
          <w:sz w:val="24"/>
          <w:szCs w:val="24"/>
        </w:rPr>
        <w:t>IL CONTRAENTE</w:t>
      </w:r>
    </w:p>
    <w:p w14:paraId="6FE25DBA" w14:textId="77777777" w:rsidR="006F7F77" w:rsidRPr="006F7F77" w:rsidRDefault="006F7F77" w:rsidP="006F7F77">
      <w:pPr>
        <w:autoSpaceDE w:val="0"/>
        <w:autoSpaceDN w:val="0"/>
        <w:adjustRightInd w:val="0"/>
        <w:ind w:left="360"/>
        <w:jc w:val="both"/>
        <w:rPr>
          <w:rFonts w:ascii="Titillium Up" w:hAnsi="Titillium Up"/>
          <w:b/>
          <w:sz w:val="24"/>
          <w:szCs w:val="24"/>
        </w:rPr>
      </w:pPr>
    </w:p>
    <w:p w14:paraId="5A328CE6" w14:textId="77777777" w:rsidR="006F7F77" w:rsidRPr="006F7F77" w:rsidRDefault="006F7F77" w:rsidP="006F7F77">
      <w:pPr>
        <w:autoSpaceDE w:val="0"/>
        <w:autoSpaceDN w:val="0"/>
        <w:adjustRightInd w:val="0"/>
        <w:ind w:left="360"/>
        <w:jc w:val="both"/>
        <w:rPr>
          <w:rFonts w:ascii="Titillium Up" w:hAnsi="Titillium Up"/>
          <w:sz w:val="24"/>
          <w:szCs w:val="24"/>
        </w:rPr>
      </w:pPr>
      <w:r w:rsidRPr="006F7F77">
        <w:rPr>
          <w:rFonts w:ascii="Titillium Up" w:hAnsi="Titillium Up"/>
          <w:b/>
          <w:sz w:val="24"/>
          <w:szCs w:val="24"/>
        </w:rPr>
        <w:tab/>
      </w:r>
      <w:r w:rsidRPr="006F7F77">
        <w:rPr>
          <w:rFonts w:ascii="Titillium Up" w:hAnsi="Titillium Up"/>
          <w:b/>
          <w:sz w:val="24"/>
          <w:szCs w:val="24"/>
        </w:rPr>
        <w:tab/>
      </w:r>
      <w:r w:rsidRPr="006F7F77">
        <w:rPr>
          <w:rFonts w:ascii="Titillium Up" w:hAnsi="Titillium Up"/>
          <w:b/>
          <w:sz w:val="24"/>
          <w:szCs w:val="24"/>
        </w:rPr>
        <w:tab/>
      </w:r>
      <w:r w:rsidRPr="006F7F77">
        <w:rPr>
          <w:rFonts w:ascii="Titillium Up" w:hAnsi="Titillium Up"/>
          <w:b/>
          <w:sz w:val="24"/>
          <w:szCs w:val="24"/>
        </w:rPr>
        <w:tab/>
      </w:r>
      <w:r w:rsidRPr="006F7F77">
        <w:rPr>
          <w:rFonts w:ascii="Titillium Up" w:hAnsi="Titillium Up"/>
          <w:b/>
          <w:sz w:val="24"/>
          <w:szCs w:val="24"/>
        </w:rPr>
        <w:tab/>
      </w:r>
      <w:r w:rsidRPr="006F7F77">
        <w:rPr>
          <w:rFonts w:ascii="Titillium Up" w:hAnsi="Titillium Up"/>
          <w:b/>
          <w:sz w:val="24"/>
          <w:szCs w:val="24"/>
        </w:rPr>
        <w:tab/>
      </w:r>
      <w:r w:rsidRPr="006F7F77">
        <w:rPr>
          <w:rFonts w:ascii="Titillium Up" w:hAnsi="Titillium Up"/>
          <w:b/>
          <w:sz w:val="24"/>
          <w:szCs w:val="24"/>
        </w:rPr>
        <w:tab/>
      </w:r>
      <w:r w:rsidRPr="006F7F77">
        <w:rPr>
          <w:rFonts w:ascii="Titillium Up" w:hAnsi="Titillium Up"/>
          <w:b/>
          <w:sz w:val="24"/>
          <w:szCs w:val="24"/>
        </w:rPr>
        <w:tab/>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r>
      <w:r w:rsidRPr="006F7F77">
        <w:rPr>
          <w:rFonts w:ascii="Titillium Up" w:hAnsi="Titillium Up"/>
          <w:sz w:val="24"/>
          <w:szCs w:val="24"/>
        </w:rPr>
        <w:softHyphen/>
        <w:t xml:space="preserve">          --------------------------------------</w:t>
      </w:r>
    </w:p>
    <w:sectPr w:rsidR="006F7F77" w:rsidRPr="006F7F77" w:rsidSect="002A742E">
      <w:headerReference w:type="default" r:id="rId21"/>
      <w:footerReference w:type="default" r:id="rId22"/>
      <w:pgSz w:w="11906" w:h="16838" w:code="9"/>
      <w:pgMar w:top="567" w:right="849" w:bottom="567" w:left="567" w:header="425" w:footer="159" w:gutter="0"/>
      <w:cols w:space="720" w:equalWidth="0">
        <w:col w:w="104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5D02" w14:textId="77777777" w:rsidR="00E45402" w:rsidRDefault="00E45402">
      <w:r>
        <w:separator/>
      </w:r>
    </w:p>
  </w:endnote>
  <w:endnote w:type="continuationSeparator" w:id="0">
    <w:p w14:paraId="0D45F9BC" w14:textId="77777777" w:rsidR="00E45402" w:rsidRDefault="00E4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illium Up">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charset w:val="00"/>
    <w:family w:val="roman"/>
    <w:pitch w:val="variable"/>
    <w:sig w:usb0="00000003" w:usb1="00000000" w:usb2="00000000" w:usb3="00000000" w:csb0="00000001" w:csb1="00000000"/>
  </w:font>
  <w:font w:name="Imago Light">
    <w:altName w:val="Times New Roman"/>
    <w:charset w:val="4D"/>
    <w:family w:val="roman"/>
    <w:pitch w:val="variable"/>
  </w:font>
  <w:font w:name="MinionPro-Regular">
    <w:altName w:val="Calibri"/>
    <w:panose1 w:val="00000000000000000000"/>
    <w:charset w:val="4D"/>
    <w:family w:val="auto"/>
    <w:notTrueType/>
    <w:pitch w:val="default"/>
    <w:sig w:usb0="00000003" w:usb1="00000000" w:usb2="00000000" w:usb3="00000000" w:csb0="00000001" w:csb1="00000000"/>
  </w:font>
  <w:font w:name="ZapfDingbats">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tillium-BoldUpright">
    <w:altName w:val="Courier New"/>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6100" w14:textId="77777777" w:rsidR="003C62FE" w:rsidRDefault="003C62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E2A6" w14:textId="77777777" w:rsidR="00B7258D" w:rsidRDefault="00B7258D">
    <w:pPr>
      <w:pStyle w:val="Pidipagina"/>
    </w:pPr>
  </w:p>
  <w:tbl>
    <w:tblPr>
      <w:tblW w:w="5000" w:type="pct"/>
      <w:tblBorders>
        <w:top w:val="single" w:sz="4" w:space="0" w:color="E6BA3E"/>
      </w:tblBorders>
      <w:tblLook w:val="04A0" w:firstRow="1" w:lastRow="0" w:firstColumn="1" w:lastColumn="0" w:noHBand="0" w:noVBand="1"/>
    </w:tblPr>
    <w:tblGrid>
      <w:gridCol w:w="10489"/>
    </w:tblGrid>
    <w:tr w:rsidR="00B7258D" w14:paraId="2730D1E7" w14:textId="77777777" w:rsidTr="00BD65DF">
      <w:tc>
        <w:tcPr>
          <w:tcW w:w="5000" w:type="pct"/>
        </w:tcPr>
        <w:p w14:paraId="6FF1CFCC" w14:textId="77777777" w:rsidR="00B7258D" w:rsidRDefault="00B7258D" w:rsidP="002A742E"/>
        <w:tbl>
          <w:tblPr>
            <w:tblW w:w="10485" w:type="dxa"/>
            <w:tblLook w:val="04A0" w:firstRow="1" w:lastRow="0" w:firstColumn="1" w:lastColumn="0" w:noHBand="0" w:noVBand="1"/>
          </w:tblPr>
          <w:tblGrid>
            <w:gridCol w:w="1135"/>
            <w:gridCol w:w="8648"/>
            <w:gridCol w:w="702"/>
          </w:tblGrid>
          <w:tr w:rsidR="00B7258D" w14:paraId="47035EAF" w14:textId="77777777" w:rsidTr="00BD65DF">
            <w:trPr>
              <w:trHeight w:val="134"/>
            </w:trPr>
            <w:tc>
              <w:tcPr>
                <w:tcW w:w="541" w:type="pct"/>
                <w:vAlign w:val="center"/>
              </w:tcPr>
              <w:p w14:paraId="2ABDA89E" w14:textId="77777777" w:rsidR="00B7258D" w:rsidRPr="009A33FD" w:rsidRDefault="00B7258D" w:rsidP="002A742E">
                <w:pPr>
                  <w:pStyle w:val="Intestazione"/>
                  <w:rPr>
                    <w:rFonts w:ascii="Titillium Up" w:hAnsi="Titillium Up"/>
                  </w:rPr>
                </w:pPr>
                <w:r w:rsidRPr="009A33FD">
                  <w:rPr>
                    <w:rFonts w:ascii="Titillium Up" w:hAnsi="Titillium Up"/>
                  </w:rPr>
                  <w:fldChar w:fldCharType="begin"/>
                </w:r>
                <w:r w:rsidRPr="009A33FD">
                  <w:rPr>
                    <w:rFonts w:ascii="Titillium Up" w:hAnsi="Titillium Up"/>
                  </w:rPr>
                  <w:instrText xml:space="preserve"> PAGE   \* MERGEFORMAT </w:instrText>
                </w:r>
                <w:r w:rsidRPr="009A33FD">
                  <w:rPr>
                    <w:rFonts w:ascii="Titillium Up" w:hAnsi="Titillium Up"/>
                  </w:rPr>
                  <w:fldChar w:fldCharType="separate"/>
                </w:r>
                <w:r w:rsidRPr="009A33FD">
                  <w:rPr>
                    <w:rFonts w:ascii="Titillium Up" w:hAnsi="Titillium Up"/>
                  </w:rPr>
                  <w:t>2</w:t>
                </w:r>
                <w:r w:rsidRPr="009A33FD">
                  <w:rPr>
                    <w:rFonts w:ascii="Titillium Up" w:hAnsi="Titillium Up"/>
                  </w:rPr>
                  <w:fldChar w:fldCharType="end"/>
                </w:r>
                <w:r w:rsidRPr="009A33FD">
                  <w:rPr>
                    <w:rFonts w:ascii="Titillium Up" w:hAnsi="Titillium Up"/>
                  </w:rPr>
                  <w:t xml:space="preserve"> di</w:t>
                </w:r>
                <w:r w:rsidR="006F7F77" w:rsidRPr="009A33FD">
                  <w:rPr>
                    <w:rFonts w:ascii="Titillium Up" w:hAnsi="Titillium Up"/>
                  </w:rPr>
                  <w:t xml:space="preserve"> </w:t>
                </w:r>
                <w:r w:rsidR="009A33FD">
                  <w:rPr>
                    <w:rFonts w:ascii="Titillium Up" w:hAnsi="Titillium Up"/>
                  </w:rPr>
                  <w:t>14</w:t>
                </w:r>
              </w:p>
              <w:p w14:paraId="48FA7144" w14:textId="77777777" w:rsidR="00B7258D" w:rsidRPr="00937ECF" w:rsidRDefault="00B7258D" w:rsidP="002A742E">
                <w:pPr>
                  <w:rPr>
                    <w:rFonts w:ascii="Calibri" w:hAnsi="Calibri"/>
                    <w:sz w:val="24"/>
                    <w:szCs w:val="28"/>
                  </w:rPr>
                </w:pPr>
              </w:p>
            </w:tc>
            <w:tc>
              <w:tcPr>
                <w:tcW w:w="4124" w:type="pct"/>
                <w:vAlign w:val="center"/>
              </w:tcPr>
              <w:p w14:paraId="4AD81C90" w14:textId="77777777" w:rsidR="00B7258D" w:rsidRPr="00937ECF" w:rsidRDefault="00B7258D" w:rsidP="002A742E">
                <w:pPr>
                  <w:pStyle w:val="Pidipagina"/>
                </w:pPr>
                <w:r w:rsidRPr="00937ECF">
                  <w:rPr>
                    <w:rFonts w:ascii="Arial Narrow" w:hAnsi="Arial Narrow"/>
                    <w:sz w:val="14"/>
                  </w:rPr>
                  <w:t>Società Reale Mutua di Assicurazioni - Fondata nel 1828 - Sede Legale e Direzione Generale: Via Corte d’Appello 11, 10122 Torino (Italia) - tel. +39 0114 311 111 - fax +39 0114 350 966 – realemutua@pec.realemutua.it. - www.realemutua.it – Servizio Buongiorno Reale N. Verde 800-320320 – buongiornoreale@realemutua.it -  Registro Imprese Torino, Codice Fiscale e N. Partita IVA 00875360018 - R.E.A. Torino N. 9806 - Iscritta al numero 1.00001 dell’Albo delle Imprese di assicurazione e riassicurazione – Capogruppo del Gruppo assicurativo Reale Mutua, iscritto all’Albo dei gruppi assicurativi</w:t>
                </w:r>
              </w:p>
            </w:tc>
            <w:tc>
              <w:tcPr>
                <w:tcW w:w="335" w:type="pct"/>
                <w:vAlign w:val="center"/>
              </w:tcPr>
              <w:p w14:paraId="5FCC9880" w14:textId="77777777" w:rsidR="00B7258D" w:rsidRDefault="0011173B" w:rsidP="002A742E">
                <w:pPr>
                  <w:pStyle w:val="Pidipagina"/>
                  <w:jc w:val="right"/>
                </w:pPr>
                <w:r w:rsidRPr="00937ECF">
                  <w:rPr>
                    <w:noProof/>
                  </w:rPr>
                  <w:drawing>
                    <wp:inline distT="0" distB="0" distL="0" distR="0" wp14:anchorId="25F62D05" wp14:editId="7029F127">
                      <wp:extent cx="260350" cy="2857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10931" t="51692" r="83952" b="40759"/>
                              <a:stretch>
                                <a:fillRect/>
                              </a:stretch>
                            </pic:blipFill>
                            <pic:spPr bwMode="auto">
                              <a:xfrm>
                                <a:off x="0" y="0"/>
                                <a:ext cx="260350" cy="285750"/>
                              </a:xfrm>
                              <a:prstGeom prst="rect">
                                <a:avLst/>
                              </a:prstGeom>
                              <a:noFill/>
                              <a:ln>
                                <a:noFill/>
                              </a:ln>
                            </pic:spPr>
                          </pic:pic>
                        </a:graphicData>
                      </a:graphic>
                    </wp:inline>
                  </w:drawing>
                </w:r>
              </w:p>
            </w:tc>
          </w:tr>
        </w:tbl>
        <w:p w14:paraId="675446E6" w14:textId="77777777" w:rsidR="00B7258D" w:rsidRDefault="00B7258D" w:rsidP="002A742E">
          <w:pPr>
            <w:jc w:val="center"/>
          </w:pPr>
        </w:p>
      </w:tc>
    </w:tr>
  </w:tbl>
  <w:p w14:paraId="16F1576C" w14:textId="77777777" w:rsidR="00B7258D" w:rsidRDefault="00B7258D" w:rsidP="002A742E">
    <w:pPr>
      <w:rPr>
        <w:rFonts w:ascii="Arial Narrow" w:hAnsi="Arial Narrow"/>
        <w:sz w:val="14"/>
      </w:rPr>
    </w:pPr>
  </w:p>
  <w:p w14:paraId="43B38F2B" w14:textId="77777777" w:rsidR="00B7258D" w:rsidRDefault="00B7258D" w:rsidP="002A742E">
    <w:pPr>
      <w:jc w:val="center"/>
    </w:pPr>
    <w:r w:rsidRPr="004233DF">
      <w:object w:dxaOrig="621" w:dyaOrig="621" w14:anchorId="14156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5pt;height:30.65pt" fillcolor="window">
          <v:imagedata r:id="rId2" o:title=""/>
        </v:shape>
        <o:OLEObject Type="Embed" ProgID="Word.Picture.8" ShapeID="_x0000_i1025" DrawAspect="Content" ObjectID="_1697634004" r:id="rId3"/>
      </w:object>
    </w:r>
  </w:p>
  <w:p w14:paraId="5A8842A8" w14:textId="77777777" w:rsidR="00B7258D" w:rsidRDefault="00B7258D">
    <w:pPr>
      <w:pStyle w:val="Pidipagina"/>
    </w:pPr>
  </w:p>
  <w:p w14:paraId="3871FF4C" w14:textId="77777777" w:rsidR="00B7258D" w:rsidRDefault="00B7258D" w:rsidP="00B04928">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50BA" w14:textId="77777777" w:rsidR="003C62FE" w:rsidRDefault="003C62F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E6BA3E"/>
      </w:tblBorders>
      <w:tblLook w:val="04A0" w:firstRow="1" w:lastRow="0" w:firstColumn="1" w:lastColumn="0" w:noHBand="0" w:noVBand="1"/>
    </w:tblPr>
    <w:tblGrid>
      <w:gridCol w:w="10490"/>
    </w:tblGrid>
    <w:tr w:rsidR="00B7258D" w14:paraId="6DC12E60" w14:textId="77777777" w:rsidTr="00364692">
      <w:tc>
        <w:tcPr>
          <w:tcW w:w="5000" w:type="pct"/>
        </w:tcPr>
        <w:p w14:paraId="1D3EE7D4" w14:textId="77777777" w:rsidR="00B7258D" w:rsidRDefault="00B7258D" w:rsidP="00364692"/>
        <w:tbl>
          <w:tblPr>
            <w:tblW w:w="10485" w:type="dxa"/>
            <w:tblLook w:val="04A0" w:firstRow="1" w:lastRow="0" w:firstColumn="1" w:lastColumn="0" w:noHBand="0" w:noVBand="1"/>
          </w:tblPr>
          <w:tblGrid>
            <w:gridCol w:w="1135"/>
            <w:gridCol w:w="8648"/>
            <w:gridCol w:w="702"/>
          </w:tblGrid>
          <w:tr w:rsidR="00B7258D" w14:paraId="160DFDFE" w14:textId="77777777" w:rsidTr="00364692">
            <w:trPr>
              <w:trHeight w:val="134"/>
            </w:trPr>
            <w:tc>
              <w:tcPr>
                <w:tcW w:w="541" w:type="pct"/>
                <w:vAlign w:val="center"/>
              </w:tcPr>
              <w:p w14:paraId="11506AB0" w14:textId="77777777" w:rsidR="00B7258D" w:rsidRPr="009A33FD" w:rsidRDefault="00B7258D" w:rsidP="00364692">
                <w:pPr>
                  <w:pStyle w:val="Intestazione"/>
                  <w:rPr>
                    <w:rFonts w:ascii="Titillium Up" w:hAnsi="Titillium Up"/>
                  </w:rPr>
                </w:pPr>
                <w:r w:rsidRPr="009A33FD">
                  <w:rPr>
                    <w:rFonts w:ascii="Titillium Up" w:hAnsi="Titillium Up"/>
                  </w:rPr>
                  <w:fldChar w:fldCharType="begin"/>
                </w:r>
                <w:r w:rsidRPr="009A33FD">
                  <w:rPr>
                    <w:rFonts w:ascii="Titillium Up" w:hAnsi="Titillium Up"/>
                  </w:rPr>
                  <w:instrText xml:space="preserve"> PAGE   \* MERGEFORMAT </w:instrText>
                </w:r>
                <w:r w:rsidRPr="009A33FD">
                  <w:rPr>
                    <w:rFonts w:ascii="Titillium Up" w:hAnsi="Titillium Up"/>
                  </w:rPr>
                  <w:fldChar w:fldCharType="separate"/>
                </w:r>
                <w:r w:rsidRPr="009A33FD">
                  <w:rPr>
                    <w:rFonts w:ascii="Titillium Up" w:hAnsi="Titillium Up"/>
                    <w:noProof/>
                  </w:rPr>
                  <w:t>6</w:t>
                </w:r>
                <w:r w:rsidRPr="009A33FD">
                  <w:rPr>
                    <w:rFonts w:ascii="Titillium Up" w:hAnsi="Titillium Up"/>
                  </w:rPr>
                  <w:fldChar w:fldCharType="end"/>
                </w:r>
                <w:r w:rsidRPr="009A33FD">
                  <w:rPr>
                    <w:rFonts w:ascii="Titillium Up" w:hAnsi="Titillium Up"/>
                  </w:rPr>
                  <w:t xml:space="preserve"> di 1</w:t>
                </w:r>
                <w:r w:rsidR="009A33FD">
                  <w:rPr>
                    <w:rFonts w:ascii="Titillium Up" w:hAnsi="Titillium Up"/>
                  </w:rPr>
                  <w:t>4</w:t>
                </w:r>
              </w:p>
              <w:p w14:paraId="55199E07" w14:textId="77777777" w:rsidR="00B7258D" w:rsidRPr="009A33FD" w:rsidRDefault="00B7258D" w:rsidP="00364692">
                <w:pPr>
                  <w:rPr>
                    <w:rFonts w:ascii="Titillium Up" w:hAnsi="Titillium Up"/>
                    <w:sz w:val="24"/>
                    <w:szCs w:val="28"/>
                    <w:highlight w:val="yellow"/>
                  </w:rPr>
                </w:pPr>
              </w:p>
            </w:tc>
            <w:tc>
              <w:tcPr>
                <w:tcW w:w="4124" w:type="pct"/>
                <w:vAlign w:val="center"/>
              </w:tcPr>
              <w:p w14:paraId="52D0664E" w14:textId="77777777" w:rsidR="00B7258D" w:rsidRDefault="00B7258D" w:rsidP="00364692">
                <w:pPr>
                  <w:pStyle w:val="Pidipagina"/>
                </w:pPr>
                <w:r w:rsidRPr="004233DF">
                  <w:rPr>
                    <w:rFonts w:ascii="Arial Narrow" w:hAnsi="Arial Narrow"/>
                    <w:sz w:val="14"/>
                  </w:rPr>
                  <w:t xml:space="preserve">Società Reale Mutua di Assicurazioni - Fondata nel 1828 - Sede Legale e Direzione Generale: Via Corte d’Appello 11, 10122 Torino (Italia) - tel. +39 0114 311 111 - fax +39 0114 350 966 – </w:t>
                </w:r>
                <w:r w:rsidRPr="006E578F">
                  <w:rPr>
                    <w:rFonts w:ascii="Arial Narrow" w:hAnsi="Arial Narrow"/>
                    <w:sz w:val="14"/>
                  </w:rPr>
                  <w:t>realemutua@pec.realemutua.it</w:t>
                </w:r>
                <w:r>
                  <w:rPr>
                    <w:rFonts w:ascii="Arial Narrow" w:hAnsi="Arial Narrow"/>
                    <w:sz w:val="14"/>
                  </w:rPr>
                  <w:t xml:space="preserve">. - </w:t>
                </w:r>
                <w:r w:rsidRPr="004233DF">
                  <w:rPr>
                    <w:rFonts w:ascii="Arial Narrow" w:hAnsi="Arial Narrow"/>
                    <w:sz w:val="14"/>
                  </w:rPr>
                  <w:t>www.realemutua.it – Servizio Buongiorno Reale N. Verde 800-320320 – buongiornoreale@realemutua.it -  Registro Imprese Torino, Codice Fiscale e N. Partita IVA 00875360018 - R.E.A. Torino N. 9806 - Iscritta al numero 1.00001 dell’Albo delle Imprese di assicurazione e riassicurazione – Capogruppo del Gruppo assicurativo Reale Mutua, iscritto all’Albo dei gruppi assicurativi</w:t>
                </w:r>
              </w:p>
            </w:tc>
            <w:tc>
              <w:tcPr>
                <w:tcW w:w="335" w:type="pct"/>
                <w:vAlign w:val="center"/>
              </w:tcPr>
              <w:p w14:paraId="1FF1B087" w14:textId="77777777" w:rsidR="00B7258D" w:rsidRDefault="0011173B" w:rsidP="00364692">
                <w:pPr>
                  <w:pStyle w:val="Pidipagina"/>
                  <w:jc w:val="right"/>
                </w:pPr>
                <w:r w:rsidRPr="00241E92">
                  <w:rPr>
                    <w:noProof/>
                  </w:rPr>
                  <w:drawing>
                    <wp:inline distT="0" distB="0" distL="0" distR="0" wp14:anchorId="14C1D51F" wp14:editId="6B19B491">
                      <wp:extent cx="260350" cy="28575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10931" t="51692" r="83952" b="40759"/>
                              <a:stretch>
                                <a:fillRect/>
                              </a:stretch>
                            </pic:blipFill>
                            <pic:spPr bwMode="auto">
                              <a:xfrm>
                                <a:off x="0" y="0"/>
                                <a:ext cx="260350" cy="285750"/>
                              </a:xfrm>
                              <a:prstGeom prst="rect">
                                <a:avLst/>
                              </a:prstGeom>
                              <a:noFill/>
                              <a:ln>
                                <a:noFill/>
                              </a:ln>
                            </pic:spPr>
                          </pic:pic>
                        </a:graphicData>
                      </a:graphic>
                    </wp:inline>
                  </w:drawing>
                </w:r>
              </w:p>
            </w:tc>
          </w:tr>
        </w:tbl>
        <w:p w14:paraId="31D5AFAC" w14:textId="77777777" w:rsidR="00B7258D" w:rsidRDefault="00B7258D" w:rsidP="00364692">
          <w:pPr>
            <w:jc w:val="center"/>
          </w:pPr>
        </w:p>
      </w:tc>
    </w:tr>
  </w:tbl>
  <w:p w14:paraId="271D115D" w14:textId="77777777" w:rsidR="00B7258D" w:rsidRDefault="00B7258D" w:rsidP="00B04928">
    <w:pPr>
      <w:rPr>
        <w:rFonts w:ascii="Arial Narrow" w:hAnsi="Arial Narrow"/>
        <w:sz w:val="14"/>
      </w:rPr>
    </w:pPr>
  </w:p>
  <w:p w14:paraId="212FD343" w14:textId="77777777" w:rsidR="00B7258D" w:rsidRDefault="00B7258D" w:rsidP="00B04928">
    <w:pPr>
      <w:jc w:val="center"/>
      <w:rPr>
        <w:rFonts w:ascii="Arial Narrow" w:hAnsi="Arial Narrow"/>
        <w:sz w:val="14"/>
      </w:rPr>
    </w:pPr>
    <w:r w:rsidRPr="004233DF">
      <w:object w:dxaOrig="621" w:dyaOrig="621" w14:anchorId="54310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5pt;height:30.65pt" fillcolor="window">
          <v:imagedata r:id="rId2" o:title=""/>
        </v:shape>
        <o:OLEObject Type="Embed" ProgID="Word.Picture.8" ShapeID="_x0000_i1026" DrawAspect="Content" ObjectID="_1697634005" r:id="rId3"/>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1C9B" w14:textId="77777777" w:rsidR="00E45402" w:rsidRDefault="00E45402">
      <w:r>
        <w:separator/>
      </w:r>
    </w:p>
  </w:footnote>
  <w:footnote w:type="continuationSeparator" w:id="0">
    <w:p w14:paraId="123BA471" w14:textId="77777777" w:rsidR="00E45402" w:rsidRDefault="00E4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3D82" w14:textId="77777777" w:rsidR="003C62FE" w:rsidRDefault="003C62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903714"/>
      <w:docPartObj>
        <w:docPartGallery w:val="Watermarks"/>
        <w:docPartUnique/>
      </w:docPartObj>
    </w:sdtPr>
    <w:sdtContent>
      <w:p w14:paraId="7D65E953" w14:textId="655E21E4" w:rsidR="00B7258D" w:rsidRDefault="003C62FE" w:rsidP="00CB4114">
        <w:r>
          <w:pict w14:anchorId="32000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21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tbl>
    <w:tblPr>
      <w:tblW w:w="10555" w:type="dxa"/>
      <w:tblBorders>
        <w:bottom w:val="single" w:sz="12" w:space="0" w:color="FFCC00"/>
      </w:tblBorders>
      <w:tblLayout w:type="fixed"/>
      <w:tblLook w:val="04A0" w:firstRow="1" w:lastRow="0" w:firstColumn="1" w:lastColumn="0" w:noHBand="0" w:noVBand="1"/>
    </w:tblPr>
    <w:tblGrid>
      <w:gridCol w:w="10555"/>
    </w:tblGrid>
    <w:tr w:rsidR="00B7258D" w:rsidRPr="00AD727A" w14:paraId="4448C710" w14:textId="77777777" w:rsidTr="00B04928">
      <w:trPr>
        <w:trHeight w:val="405"/>
      </w:trPr>
      <w:tc>
        <w:tcPr>
          <w:tcW w:w="10555" w:type="dxa"/>
        </w:tcPr>
        <w:p w14:paraId="49B51DE5" w14:textId="5F5DE479" w:rsidR="00B7258D" w:rsidRPr="00AD727A" w:rsidRDefault="00B7258D" w:rsidP="00CD1F72">
          <w:pPr>
            <w:pStyle w:val="Intestazione"/>
            <w:jc w:val="right"/>
            <w:rPr>
              <w:rFonts w:ascii="Titillium Up" w:hAnsi="Titillium Up"/>
              <w:b/>
              <w:color w:val="17365D"/>
              <w:sz w:val="24"/>
              <w:szCs w:val="24"/>
            </w:rPr>
          </w:pPr>
          <w:r w:rsidRPr="00247D2C">
            <w:rPr>
              <w:rFonts w:ascii="Titillium Up" w:hAnsi="Titillium Up"/>
              <w:b/>
              <w:color w:val="17365D"/>
              <w:sz w:val="32"/>
              <w:szCs w:val="32"/>
            </w:rPr>
            <w:t xml:space="preserve">Mod. </w:t>
          </w:r>
          <w:r w:rsidR="007D2C13" w:rsidRPr="00247D2C">
            <w:rPr>
              <w:rFonts w:ascii="Titillium Up" w:hAnsi="Titillium Up"/>
              <w:b/>
              <w:color w:val="17365D"/>
              <w:sz w:val="32"/>
              <w:szCs w:val="32"/>
            </w:rPr>
            <w:t>5001/</w:t>
          </w:r>
          <w:r w:rsidR="00D267F0" w:rsidRPr="00247D2C">
            <w:rPr>
              <w:rFonts w:ascii="Titillium Up" w:hAnsi="Titillium Up"/>
              <w:b/>
              <w:color w:val="17365D"/>
              <w:sz w:val="32"/>
              <w:szCs w:val="32"/>
            </w:rPr>
            <w:t>PROF</w:t>
          </w:r>
          <w:r w:rsidRPr="00247D2C">
            <w:rPr>
              <w:rFonts w:ascii="Titillium Up" w:hAnsi="Titillium Up"/>
              <w:b/>
              <w:color w:val="17365D"/>
              <w:sz w:val="32"/>
              <w:szCs w:val="32"/>
            </w:rPr>
            <w:t xml:space="preserve"> RCG</w:t>
          </w:r>
          <w:r w:rsidRPr="00247D2C">
            <w:rPr>
              <w:rFonts w:ascii="Titillium Up" w:hAnsi="Titillium Up"/>
              <w:b/>
              <w:color w:val="17365D"/>
              <w:sz w:val="24"/>
            </w:rPr>
            <w:t xml:space="preserve"> </w:t>
          </w:r>
          <w:r w:rsidRPr="00247D2C">
            <w:rPr>
              <w:rFonts w:ascii="Titillium Up" w:hAnsi="Titillium Up"/>
              <w:b/>
              <w:color w:val="17365D"/>
              <w:sz w:val="28"/>
            </w:rPr>
            <w:t>– Ed.</w:t>
          </w:r>
        </w:p>
      </w:tc>
    </w:tr>
  </w:tbl>
  <w:p w14:paraId="370987BB" w14:textId="77777777" w:rsidR="00B7258D" w:rsidRPr="003F7817" w:rsidRDefault="00B7258D" w:rsidP="00CB411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DE77" w14:textId="77777777" w:rsidR="003C62FE" w:rsidRDefault="003C62FE">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8ADA" w14:textId="77777777" w:rsidR="00B7258D" w:rsidRDefault="00B7258D" w:rsidP="00CB4114"/>
  <w:tbl>
    <w:tblPr>
      <w:tblW w:w="10598" w:type="dxa"/>
      <w:tblBorders>
        <w:bottom w:val="single" w:sz="12" w:space="0" w:color="FFCC00"/>
      </w:tblBorders>
      <w:tblLayout w:type="fixed"/>
      <w:tblLook w:val="04A0" w:firstRow="1" w:lastRow="0" w:firstColumn="1" w:lastColumn="0" w:noHBand="0" w:noVBand="1"/>
    </w:tblPr>
    <w:tblGrid>
      <w:gridCol w:w="10598"/>
    </w:tblGrid>
    <w:tr w:rsidR="00B7258D" w14:paraId="5BA808CE" w14:textId="77777777" w:rsidTr="00F07BFB">
      <w:tc>
        <w:tcPr>
          <w:tcW w:w="10598" w:type="dxa"/>
        </w:tcPr>
        <w:p w14:paraId="27C8C130" w14:textId="2265177D" w:rsidR="00B7258D" w:rsidRPr="00B04928" w:rsidRDefault="00B7258D" w:rsidP="00CD1F72">
          <w:pPr>
            <w:pStyle w:val="Intestazione"/>
            <w:jc w:val="right"/>
            <w:rPr>
              <w:rFonts w:ascii="Titillium Up" w:hAnsi="Titillium Up"/>
              <w:b/>
              <w:color w:val="17365D"/>
              <w:sz w:val="24"/>
              <w:szCs w:val="24"/>
            </w:rPr>
          </w:pPr>
          <w:r>
            <w:rPr>
              <w:rFonts w:ascii="Titillium Up" w:hAnsi="Titillium Up" w:cs="Arial"/>
              <w:b/>
              <w:color w:val="17365D"/>
              <w:sz w:val="32"/>
              <w:szCs w:val="22"/>
            </w:rPr>
            <w:t>Mod.</w:t>
          </w:r>
          <w:r w:rsidRPr="00E4259A">
            <w:rPr>
              <w:rFonts w:ascii="Titillium Up" w:hAnsi="Titillium Up" w:cs="Arial"/>
              <w:b/>
              <w:color w:val="17365D"/>
              <w:sz w:val="32"/>
              <w:szCs w:val="22"/>
            </w:rPr>
            <w:t xml:space="preserve"> </w:t>
          </w:r>
          <w:r w:rsidR="007D2C13" w:rsidRPr="00247D2C">
            <w:rPr>
              <w:rFonts w:ascii="Titillium Up" w:hAnsi="Titillium Up"/>
              <w:b/>
              <w:color w:val="17365D"/>
              <w:sz w:val="32"/>
              <w:szCs w:val="32"/>
            </w:rPr>
            <w:t>5001/</w:t>
          </w:r>
          <w:r w:rsidR="00D267F0" w:rsidRPr="00247D2C">
            <w:rPr>
              <w:rFonts w:ascii="Titillium Up" w:hAnsi="Titillium Up"/>
              <w:b/>
              <w:color w:val="17365D"/>
              <w:sz w:val="32"/>
              <w:szCs w:val="32"/>
            </w:rPr>
            <w:t>PROF</w:t>
          </w:r>
          <w:r w:rsidRPr="00247D2C">
            <w:rPr>
              <w:rFonts w:ascii="Titillium Up" w:hAnsi="Titillium Up"/>
              <w:b/>
              <w:color w:val="17365D"/>
              <w:sz w:val="32"/>
              <w:szCs w:val="32"/>
            </w:rPr>
            <w:t xml:space="preserve"> RCG</w:t>
          </w:r>
          <w:r w:rsidRPr="00247D2C">
            <w:rPr>
              <w:rFonts w:ascii="Titillium Up" w:hAnsi="Titillium Up"/>
              <w:b/>
              <w:color w:val="17365D"/>
              <w:sz w:val="24"/>
            </w:rPr>
            <w:t xml:space="preserve"> </w:t>
          </w:r>
          <w:r w:rsidRPr="00247D2C">
            <w:rPr>
              <w:rFonts w:ascii="Titillium Up" w:hAnsi="Titillium Up"/>
              <w:b/>
              <w:color w:val="17365D"/>
              <w:sz w:val="28"/>
            </w:rPr>
            <w:t>–</w:t>
          </w:r>
        </w:p>
      </w:tc>
    </w:tr>
  </w:tbl>
  <w:p w14:paraId="5866B3C8" w14:textId="77777777" w:rsidR="00B7258D" w:rsidRPr="003F7817" w:rsidRDefault="00B7258D" w:rsidP="00CB41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7F0F5E"/>
    <w:multiLevelType w:val="hybridMultilevel"/>
    <w:tmpl w:val="CC97159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2E28EEE"/>
    <w:multiLevelType w:val="hybridMultilevel"/>
    <w:tmpl w:val="A58FC04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A"/>
    <w:multiLevelType w:val="singleLevel"/>
    <w:tmpl w:val="0000000A"/>
    <w:name w:val="WW8Num27"/>
    <w:lvl w:ilvl="0">
      <w:start w:val="1"/>
      <w:numFmt w:val="bullet"/>
      <w:lvlText w:val=""/>
      <w:lvlJc w:val="left"/>
      <w:pPr>
        <w:tabs>
          <w:tab w:val="num" w:pos="780"/>
        </w:tabs>
        <w:ind w:left="780" w:hanging="360"/>
      </w:pPr>
      <w:rPr>
        <w:rFonts w:ascii="Symbol" w:hAnsi="Symbol" w:cs="Symbol" w:hint="default"/>
      </w:rPr>
    </w:lvl>
  </w:abstractNum>
  <w:abstractNum w:abstractNumId="3" w15:restartNumberingAfterBreak="0">
    <w:nsid w:val="022E50AB"/>
    <w:multiLevelType w:val="singleLevel"/>
    <w:tmpl w:val="8CC01A76"/>
    <w:lvl w:ilvl="0">
      <w:start w:val="2"/>
      <w:numFmt w:val="lowerLetter"/>
      <w:lvlText w:val="%1)"/>
      <w:lvlJc w:val="left"/>
      <w:pPr>
        <w:tabs>
          <w:tab w:val="num" w:pos="1138"/>
        </w:tabs>
        <w:ind w:left="1138" w:hanging="570"/>
      </w:pPr>
      <w:rPr>
        <w:rFonts w:hint="default"/>
        <w:b/>
      </w:rPr>
    </w:lvl>
  </w:abstractNum>
  <w:abstractNum w:abstractNumId="4" w15:restartNumberingAfterBreak="0">
    <w:nsid w:val="077D7BAB"/>
    <w:multiLevelType w:val="hybridMultilevel"/>
    <w:tmpl w:val="40EAD15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79B7602"/>
    <w:multiLevelType w:val="hybridMultilevel"/>
    <w:tmpl w:val="833AB614"/>
    <w:lvl w:ilvl="0" w:tplc="C6984FF2">
      <w:start w:val="1"/>
      <w:numFmt w:val="bullet"/>
      <w:lvlText w:val="-"/>
      <w:lvlJc w:val="left"/>
      <w:pPr>
        <w:tabs>
          <w:tab w:val="num" w:pos="644"/>
        </w:tabs>
        <w:ind w:left="644" w:hanging="360"/>
      </w:pPr>
      <w:rPr>
        <w:rFonts w:ascii="Times New Roman" w:eastAsia="Times"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A07661F"/>
    <w:multiLevelType w:val="hybridMultilevel"/>
    <w:tmpl w:val="E46490DE"/>
    <w:lvl w:ilvl="0" w:tplc="FFFFFFF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813"/>
        </w:tabs>
        <w:ind w:left="813" w:hanging="360"/>
      </w:pPr>
    </w:lvl>
    <w:lvl w:ilvl="2" w:tplc="0410001B" w:tentative="1">
      <w:start w:val="1"/>
      <w:numFmt w:val="lowerRoman"/>
      <w:lvlText w:val="%3."/>
      <w:lvlJc w:val="right"/>
      <w:pPr>
        <w:tabs>
          <w:tab w:val="num" w:pos="1533"/>
        </w:tabs>
        <w:ind w:left="1533" w:hanging="180"/>
      </w:pPr>
    </w:lvl>
    <w:lvl w:ilvl="3" w:tplc="0410000F" w:tentative="1">
      <w:start w:val="1"/>
      <w:numFmt w:val="decimal"/>
      <w:lvlText w:val="%4."/>
      <w:lvlJc w:val="left"/>
      <w:pPr>
        <w:tabs>
          <w:tab w:val="num" w:pos="2253"/>
        </w:tabs>
        <w:ind w:left="2253" w:hanging="360"/>
      </w:pPr>
    </w:lvl>
    <w:lvl w:ilvl="4" w:tplc="04100019" w:tentative="1">
      <w:start w:val="1"/>
      <w:numFmt w:val="lowerLetter"/>
      <w:lvlText w:val="%5."/>
      <w:lvlJc w:val="left"/>
      <w:pPr>
        <w:tabs>
          <w:tab w:val="num" w:pos="2973"/>
        </w:tabs>
        <w:ind w:left="2973" w:hanging="360"/>
      </w:pPr>
    </w:lvl>
    <w:lvl w:ilvl="5" w:tplc="0410001B" w:tentative="1">
      <w:start w:val="1"/>
      <w:numFmt w:val="lowerRoman"/>
      <w:lvlText w:val="%6."/>
      <w:lvlJc w:val="right"/>
      <w:pPr>
        <w:tabs>
          <w:tab w:val="num" w:pos="3693"/>
        </w:tabs>
        <w:ind w:left="3693" w:hanging="180"/>
      </w:pPr>
    </w:lvl>
    <w:lvl w:ilvl="6" w:tplc="0410000F" w:tentative="1">
      <w:start w:val="1"/>
      <w:numFmt w:val="decimal"/>
      <w:lvlText w:val="%7."/>
      <w:lvlJc w:val="left"/>
      <w:pPr>
        <w:tabs>
          <w:tab w:val="num" w:pos="4413"/>
        </w:tabs>
        <w:ind w:left="4413" w:hanging="360"/>
      </w:pPr>
    </w:lvl>
    <w:lvl w:ilvl="7" w:tplc="04100019" w:tentative="1">
      <w:start w:val="1"/>
      <w:numFmt w:val="lowerLetter"/>
      <w:lvlText w:val="%8."/>
      <w:lvlJc w:val="left"/>
      <w:pPr>
        <w:tabs>
          <w:tab w:val="num" w:pos="5133"/>
        </w:tabs>
        <w:ind w:left="5133" w:hanging="360"/>
      </w:pPr>
    </w:lvl>
    <w:lvl w:ilvl="8" w:tplc="0410001B" w:tentative="1">
      <w:start w:val="1"/>
      <w:numFmt w:val="lowerRoman"/>
      <w:lvlText w:val="%9."/>
      <w:lvlJc w:val="right"/>
      <w:pPr>
        <w:tabs>
          <w:tab w:val="num" w:pos="5853"/>
        </w:tabs>
        <w:ind w:left="5853" w:hanging="180"/>
      </w:pPr>
    </w:lvl>
  </w:abstractNum>
  <w:abstractNum w:abstractNumId="7" w15:restartNumberingAfterBreak="0">
    <w:nsid w:val="0A894907"/>
    <w:multiLevelType w:val="hybridMultilevel"/>
    <w:tmpl w:val="8FEAB0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2B0A60"/>
    <w:multiLevelType w:val="hybridMultilevel"/>
    <w:tmpl w:val="47CCE5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033187D"/>
    <w:multiLevelType w:val="hybridMultilevel"/>
    <w:tmpl w:val="51C8FFBE"/>
    <w:lvl w:ilvl="0" w:tplc="0C3CDE7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6E6EE7"/>
    <w:multiLevelType w:val="hybridMultilevel"/>
    <w:tmpl w:val="85EC1E56"/>
    <w:lvl w:ilvl="0" w:tplc="28B631D8">
      <w:start w:val="1"/>
      <w:numFmt w:val="decimal"/>
      <w:lvlText w:val="2.%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2FD2AEF"/>
    <w:multiLevelType w:val="hybridMultilevel"/>
    <w:tmpl w:val="9098B2B4"/>
    <w:lvl w:ilvl="0" w:tplc="04100017">
      <w:start w:val="1"/>
      <w:numFmt w:val="lowerLetter"/>
      <w:lvlText w:val="%1)"/>
      <w:lvlJc w:val="left"/>
      <w:pPr>
        <w:ind w:left="721" w:hanging="360"/>
      </w:p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12" w15:restartNumberingAfterBreak="0">
    <w:nsid w:val="157D1D62"/>
    <w:multiLevelType w:val="hybridMultilevel"/>
    <w:tmpl w:val="F2265C22"/>
    <w:lvl w:ilvl="0" w:tplc="233ACD2E">
      <w:start w:val="1"/>
      <w:numFmt w:val="lowerLetter"/>
      <w:lvlText w:val="%1)"/>
      <w:lvlJc w:val="left"/>
      <w:pPr>
        <w:tabs>
          <w:tab w:val="num" w:pos="988"/>
        </w:tabs>
        <w:ind w:left="988" w:hanging="420"/>
      </w:pPr>
      <w:rPr>
        <w:rFonts w:hint="default"/>
        <w:b/>
      </w:rPr>
    </w:lvl>
    <w:lvl w:ilvl="1" w:tplc="04100019" w:tentative="1">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3" w15:restartNumberingAfterBreak="0">
    <w:nsid w:val="17D6179B"/>
    <w:multiLevelType w:val="hybridMultilevel"/>
    <w:tmpl w:val="3614EAC8"/>
    <w:lvl w:ilvl="0" w:tplc="536E0398">
      <w:numFmt w:val="bullet"/>
      <w:lvlText w:val="-"/>
      <w:lvlJc w:val="left"/>
      <w:pPr>
        <w:tabs>
          <w:tab w:val="num" w:pos="720"/>
        </w:tabs>
        <w:ind w:left="720" w:hanging="360"/>
      </w:pPr>
      <w:rPr>
        <w:rFonts w:ascii="Times New Roman" w:eastAsia="Times New Roman" w:hAnsi="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A9160A"/>
    <w:multiLevelType w:val="hybridMultilevel"/>
    <w:tmpl w:val="E8826078"/>
    <w:lvl w:ilvl="0" w:tplc="0C3CDE7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1B802934"/>
    <w:multiLevelType w:val="hybridMultilevel"/>
    <w:tmpl w:val="B22E23D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BCA44A6"/>
    <w:multiLevelType w:val="hybridMultilevel"/>
    <w:tmpl w:val="8EA621B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235E13BD"/>
    <w:multiLevelType w:val="hybridMultilevel"/>
    <w:tmpl w:val="DFA68894"/>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23D32112"/>
    <w:multiLevelType w:val="hybridMultilevel"/>
    <w:tmpl w:val="C816663A"/>
    <w:lvl w:ilvl="0" w:tplc="59BA86A8">
      <w:start w:val="1"/>
      <w:numFmt w:val="decimal"/>
      <w:lvlText w:val="%1."/>
      <w:lvlJc w:val="left"/>
      <w:pPr>
        <w:tabs>
          <w:tab w:val="num" w:pos="360"/>
        </w:tabs>
        <w:ind w:left="360" w:hanging="360"/>
      </w:pPr>
      <w:rPr>
        <w:rFonts w:hint="default"/>
        <w:b w:val="0"/>
        <w:color w:val="1F497D"/>
      </w:rPr>
    </w:lvl>
    <w:lvl w:ilvl="1" w:tplc="FFFFFFFF">
      <w:numFmt w:val="bullet"/>
      <w:lvlText w:val="-"/>
      <w:lvlJc w:val="left"/>
      <w:pPr>
        <w:tabs>
          <w:tab w:val="num" w:pos="1080"/>
        </w:tabs>
        <w:ind w:left="1080" w:hanging="360"/>
      </w:pPr>
      <w:rPr>
        <w:rFonts w:ascii="Arial" w:eastAsia="Times New Roman" w:hAnsi="Arial" w:cs="Arial" w:hint="default"/>
        <w:b w:val="0"/>
      </w:rPr>
    </w:lvl>
    <w:lvl w:ilvl="2" w:tplc="FFFFFFFF">
      <w:start w:val="1"/>
      <w:numFmt w:val="decimal"/>
      <w:lvlText w:val="%3)"/>
      <w:lvlJc w:val="left"/>
      <w:pPr>
        <w:tabs>
          <w:tab w:val="num" w:pos="644"/>
        </w:tabs>
        <w:ind w:left="644" w:hanging="360"/>
      </w:pPr>
      <w:rPr>
        <w:rFonts w:hint="default"/>
      </w:rPr>
    </w:lvl>
    <w:lvl w:ilvl="3" w:tplc="FFFFFFFF">
      <w:start w:val="1"/>
      <w:numFmt w:val="bullet"/>
      <w:lvlText w:val=""/>
      <w:lvlJc w:val="left"/>
      <w:pPr>
        <w:tabs>
          <w:tab w:val="num" w:pos="786"/>
        </w:tabs>
        <w:ind w:left="786" w:hanging="360"/>
      </w:pPr>
      <w:rPr>
        <w:rFonts w:ascii="Symbol" w:hAnsi="Symbol"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3ED63E7"/>
    <w:multiLevelType w:val="hybridMultilevel"/>
    <w:tmpl w:val="C42685B2"/>
    <w:lvl w:ilvl="0" w:tplc="0C3CDE7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4CF5DD8"/>
    <w:multiLevelType w:val="multilevel"/>
    <w:tmpl w:val="EA3CA8E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260416EB"/>
    <w:multiLevelType w:val="hybridMultilevel"/>
    <w:tmpl w:val="0818F65E"/>
    <w:lvl w:ilvl="0" w:tplc="208A9408">
      <w:start w:val="1"/>
      <w:numFmt w:val="lowerLetter"/>
      <w:lvlText w:val="%1)"/>
      <w:lvlJc w:val="left"/>
      <w:pPr>
        <w:tabs>
          <w:tab w:val="num" w:pos="1068"/>
        </w:tabs>
        <w:ind w:left="1068" w:hanging="360"/>
      </w:pPr>
      <w:rPr>
        <w:rFonts w:ascii="Titillium Up" w:eastAsia="Times New Roman" w:hAnsi="Titillium Up" w:cs="Arial"/>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CE765AE"/>
    <w:multiLevelType w:val="hybridMultilevel"/>
    <w:tmpl w:val="28A24D02"/>
    <w:lvl w:ilvl="0" w:tplc="2BDE61DA">
      <w:start w:val="6"/>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357312"/>
    <w:multiLevelType w:val="hybridMultilevel"/>
    <w:tmpl w:val="9E14075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2EBE59D2"/>
    <w:multiLevelType w:val="singleLevel"/>
    <w:tmpl w:val="16B6A46E"/>
    <w:lvl w:ilvl="0">
      <w:start w:val="1"/>
      <w:numFmt w:val="bullet"/>
      <w:lvlText w:val="-"/>
      <w:lvlJc w:val="left"/>
      <w:pPr>
        <w:tabs>
          <w:tab w:val="num" w:pos="1778"/>
        </w:tabs>
        <w:ind w:left="1778" w:hanging="360"/>
      </w:pPr>
      <w:rPr>
        <w:rFonts w:hint="default"/>
      </w:rPr>
    </w:lvl>
  </w:abstractNum>
  <w:abstractNum w:abstractNumId="25" w15:restartNumberingAfterBreak="0">
    <w:nsid w:val="2FFA393A"/>
    <w:multiLevelType w:val="hybridMultilevel"/>
    <w:tmpl w:val="2C703E12"/>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36EA6AF5"/>
    <w:multiLevelType w:val="hybridMultilevel"/>
    <w:tmpl w:val="923C7A8C"/>
    <w:lvl w:ilvl="0" w:tplc="AC98B4BE">
      <w:start w:val="1"/>
      <w:numFmt w:val="lowerLetter"/>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3EC554D6"/>
    <w:multiLevelType w:val="hybridMultilevel"/>
    <w:tmpl w:val="A8AAF440"/>
    <w:lvl w:ilvl="0" w:tplc="0BEEE66C">
      <w:start w:val="1"/>
      <w:numFmt w:val="bullet"/>
      <w:lvlText w:val=""/>
      <w:lvlJc w:val="left"/>
      <w:pPr>
        <w:tabs>
          <w:tab w:val="num" w:pos="357"/>
        </w:tabs>
        <w:ind w:left="357" w:hanging="357"/>
      </w:pPr>
      <w:rPr>
        <w:rFonts w:ascii="Calibri" w:hAnsi="Calibri" w:hint="default"/>
      </w:rPr>
    </w:lvl>
    <w:lvl w:ilvl="1" w:tplc="04100003" w:tentative="1">
      <w:start w:val="1"/>
      <w:numFmt w:val="bullet"/>
      <w:lvlText w:val="o"/>
      <w:lvlJc w:val="left"/>
      <w:pPr>
        <w:tabs>
          <w:tab w:val="num" w:pos="1440"/>
        </w:tabs>
        <w:ind w:left="1440" w:hanging="360"/>
      </w:pPr>
      <w:rPr>
        <w:rFonts w:ascii="Wingdings" w:hAnsi="Wingdings" w:cs="Wingdings" w:hint="default"/>
      </w:rPr>
    </w:lvl>
    <w:lvl w:ilvl="2" w:tplc="04100005" w:tentative="1">
      <w:start w:val="1"/>
      <w:numFmt w:val="bullet"/>
      <w:lvlText w:val=""/>
      <w:lvlJc w:val="left"/>
      <w:pPr>
        <w:tabs>
          <w:tab w:val="num" w:pos="2160"/>
        </w:tabs>
        <w:ind w:left="2160" w:hanging="360"/>
      </w:pPr>
      <w:rPr>
        <w:rFonts w:ascii="Cambria Math" w:hAnsi="Cambria Math" w:hint="default"/>
      </w:rPr>
    </w:lvl>
    <w:lvl w:ilvl="3" w:tplc="04100001" w:tentative="1">
      <w:start w:val="1"/>
      <w:numFmt w:val="bullet"/>
      <w:lvlText w:val=""/>
      <w:lvlJc w:val="left"/>
      <w:pPr>
        <w:tabs>
          <w:tab w:val="num" w:pos="2880"/>
        </w:tabs>
        <w:ind w:left="2880" w:hanging="360"/>
      </w:pPr>
      <w:rPr>
        <w:rFonts w:ascii="Wingdings 3" w:hAnsi="Wingdings 3" w:hint="default"/>
      </w:rPr>
    </w:lvl>
    <w:lvl w:ilvl="4" w:tplc="04100003" w:tentative="1">
      <w:start w:val="1"/>
      <w:numFmt w:val="bullet"/>
      <w:lvlText w:val="o"/>
      <w:lvlJc w:val="left"/>
      <w:pPr>
        <w:tabs>
          <w:tab w:val="num" w:pos="3600"/>
        </w:tabs>
        <w:ind w:left="3600" w:hanging="360"/>
      </w:pPr>
      <w:rPr>
        <w:rFonts w:ascii="Wingdings" w:hAnsi="Wingdings" w:cs="Wingdings" w:hint="default"/>
      </w:rPr>
    </w:lvl>
    <w:lvl w:ilvl="5" w:tplc="04100005" w:tentative="1">
      <w:start w:val="1"/>
      <w:numFmt w:val="bullet"/>
      <w:lvlText w:val=""/>
      <w:lvlJc w:val="left"/>
      <w:pPr>
        <w:tabs>
          <w:tab w:val="num" w:pos="4320"/>
        </w:tabs>
        <w:ind w:left="4320" w:hanging="360"/>
      </w:pPr>
      <w:rPr>
        <w:rFonts w:ascii="Cambria Math" w:hAnsi="Cambria Math" w:hint="default"/>
      </w:rPr>
    </w:lvl>
    <w:lvl w:ilvl="6" w:tplc="04100001" w:tentative="1">
      <w:start w:val="1"/>
      <w:numFmt w:val="bullet"/>
      <w:lvlText w:val=""/>
      <w:lvlJc w:val="left"/>
      <w:pPr>
        <w:tabs>
          <w:tab w:val="num" w:pos="5040"/>
        </w:tabs>
        <w:ind w:left="5040" w:hanging="360"/>
      </w:pPr>
      <w:rPr>
        <w:rFonts w:ascii="Wingdings 3" w:hAnsi="Wingdings 3" w:hint="default"/>
      </w:rPr>
    </w:lvl>
    <w:lvl w:ilvl="7" w:tplc="04100003" w:tentative="1">
      <w:start w:val="1"/>
      <w:numFmt w:val="bullet"/>
      <w:lvlText w:val="o"/>
      <w:lvlJc w:val="left"/>
      <w:pPr>
        <w:tabs>
          <w:tab w:val="num" w:pos="5760"/>
        </w:tabs>
        <w:ind w:left="5760" w:hanging="360"/>
      </w:pPr>
      <w:rPr>
        <w:rFonts w:ascii="Wingdings" w:hAnsi="Wingdings" w:cs="Wingdings" w:hint="default"/>
      </w:rPr>
    </w:lvl>
    <w:lvl w:ilvl="8" w:tplc="04100005" w:tentative="1">
      <w:start w:val="1"/>
      <w:numFmt w:val="bullet"/>
      <w:lvlText w:val=""/>
      <w:lvlJc w:val="left"/>
      <w:pPr>
        <w:tabs>
          <w:tab w:val="num" w:pos="6480"/>
        </w:tabs>
        <w:ind w:left="6480" w:hanging="360"/>
      </w:pPr>
      <w:rPr>
        <w:rFonts w:ascii="Cambria Math" w:hAnsi="Cambria Math" w:hint="default"/>
      </w:rPr>
    </w:lvl>
  </w:abstractNum>
  <w:abstractNum w:abstractNumId="28" w15:restartNumberingAfterBreak="0">
    <w:nsid w:val="44041D9B"/>
    <w:multiLevelType w:val="hybridMultilevel"/>
    <w:tmpl w:val="75C22404"/>
    <w:lvl w:ilvl="0" w:tplc="1196EF4A">
      <w:start w:val="1"/>
      <w:numFmt w:val="decimal"/>
      <w:lvlText w:val="%1."/>
      <w:lvlJc w:val="left"/>
      <w:pPr>
        <w:ind w:left="846" w:hanging="360"/>
      </w:pPr>
      <w:rPr>
        <w:rFonts w:hint="default"/>
      </w:rPr>
    </w:lvl>
    <w:lvl w:ilvl="1" w:tplc="04100019" w:tentative="1">
      <w:start w:val="1"/>
      <w:numFmt w:val="lowerLetter"/>
      <w:lvlText w:val="%2."/>
      <w:lvlJc w:val="left"/>
      <w:pPr>
        <w:ind w:left="1566" w:hanging="360"/>
      </w:pPr>
    </w:lvl>
    <w:lvl w:ilvl="2" w:tplc="0410001B" w:tentative="1">
      <w:start w:val="1"/>
      <w:numFmt w:val="lowerRoman"/>
      <w:lvlText w:val="%3."/>
      <w:lvlJc w:val="right"/>
      <w:pPr>
        <w:ind w:left="2286" w:hanging="180"/>
      </w:pPr>
    </w:lvl>
    <w:lvl w:ilvl="3" w:tplc="0410000F" w:tentative="1">
      <w:start w:val="1"/>
      <w:numFmt w:val="decimal"/>
      <w:lvlText w:val="%4."/>
      <w:lvlJc w:val="left"/>
      <w:pPr>
        <w:ind w:left="3006" w:hanging="360"/>
      </w:pPr>
    </w:lvl>
    <w:lvl w:ilvl="4" w:tplc="04100019" w:tentative="1">
      <w:start w:val="1"/>
      <w:numFmt w:val="lowerLetter"/>
      <w:lvlText w:val="%5."/>
      <w:lvlJc w:val="left"/>
      <w:pPr>
        <w:ind w:left="3726" w:hanging="360"/>
      </w:pPr>
    </w:lvl>
    <w:lvl w:ilvl="5" w:tplc="0410001B" w:tentative="1">
      <w:start w:val="1"/>
      <w:numFmt w:val="lowerRoman"/>
      <w:lvlText w:val="%6."/>
      <w:lvlJc w:val="right"/>
      <w:pPr>
        <w:ind w:left="4446" w:hanging="180"/>
      </w:pPr>
    </w:lvl>
    <w:lvl w:ilvl="6" w:tplc="0410000F" w:tentative="1">
      <w:start w:val="1"/>
      <w:numFmt w:val="decimal"/>
      <w:lvlText w:val="%7."/>
      <w:lvlJc w:val="left"/>
      <w:pPr>
        <w:ind w:left="5166" w:hanging="360"/>
      </w:pPr>
    </w:lvl>
    <w:lvl w:ilvl="7" w:tplc="04100019" w:tentative="1">
      <w:start w:val="1"/>
      <w:numFmt w:val="lowerLetter"/>
      <w:lvlText w:val="%8."/>
      <w:lvlJc w:val="left"/>
      <w:pPr>
        <w:ind w:left="5886" w:hanging="360"/>
      </w:pPr>
    </w:lvl>
    <w:lvl w:ilvl="8" w:tplc="0410001B" w:tentative="1">
      <w:start w:val="1"/>
      <w:numFmt w:val="lowerRoman"/>
      <w:lvlText w:val="%9."/>
      <w:lvlJc w:val="right"/>
      <w:pPr>
        <w:ind w:left="6606" w:hanging="180"/>
      </w:pPr>
    </w:lvl>
  </w:abstractNum>
  <w:abstractNum w:abstractNumId="29" w15:restartNumberingAfterBreak="0">
    <w:nsid w:val="44B47E81"/>
    <w:multiLevelType w:val="singleLevel"/>
    <w:tmpl w:val="1DA0DCAE"/>
    <w:lvl w:ilvl="0">
      <w:start w:val="2"/>
      <w:numFmt w:val="upperLetter"/>
      <w:lvlText w:val="%1)"/>
      <w:lvlJc w:val="left"/>
      <w:pPr>
        <w:tabs>
          <w:tab w:val="num" w:pos="1137"/>
        </w:tabs>
        <w:ind w:left="1137" w:hanging="570"/>
      </w:pPr>
      <w:rPr>
        <w:rFonts w:hint="default"/>
        <w:b/>
        <w:sz w:val="20"/>
      </w:rPr>
    </w:lvl>
  </w:abstractNum>
  <w:abstractNum w:abstractNumId="30" w15:restartNumberingAfterBreak="0">
    <w:nsid w:val="49784AFA"/>
    <w:multiLevelType w:val="hybridMultilevel"/>
    <w:tmpl w:val="06A8A4A4"/>
    <w:lvl w:ilvl="0" w:tplc="FFFFFFF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4A75302A"/>
    <w:multiLevelType w:val="hybridMultilevel"/>
    <w:tmpl w:val="759A304A"/>
    <w:lvl w:ilvl="0" w:tplc="03D42CA6">
      <w:start w:val="2"/>
      <w:numFmt w:val="bullet"/>
      <w:lvlText w:val="-"/>
      <w:lvlJc w:val="left"/>
      <w:pPr>
        <w:tabs>
          <w:tab w:val="num" w:pos="928"/>
        </w:tabs>
        <w:ind w:left="928"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4AE7425F"/>
    <w:multiLevelType w:val="hybridMultilevel"/>
    <w:tmpl w:val="4C8859E6"/>
    <w:lvl w:ilvl="0" w:tplc="0C3CDE7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CC24AC"/>
    <w:multiLevelType w:val="hybridMultilevel"/>
    <w:tmpl w:val="433823BE"/>
    <w:lvl w:ilvl="0" w:tplc="7766F62C">
      <w:start w:val="9"/>
      <w:numFmt w:val="lowerLetter"/>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E3756C9"/>
    <w:multiLevelType w:val="singleLevel"/>
    <w:tmpl w:val="681EE440"/>
    <w:lvl w:ilvl="0">
      <w:start w:val="6"/>
      <w:numFmt w:val="bullet"/>
      <w:lvlText w:val="-"/>
      <w:lvlJc w:val="left"/>
      <w:pPr>
        <w:tabs>
          <w:tab w:val="num" w:pos="360"/>
        </w:tabs>
        <w:ind w:left="360" w:hanging="360"/>
      </w:pPr>
      <w:rPr>
        <w:rFonts w:hint="default"/>
        <w:b/>
      </w:rPr>
    </w:lvl>
  </w:abstractNum>
  <w:abstractNum w:abstractNumId="35" w15:restartNumberingAfterBreak="0">
    <w:nsid w:val="515C0B4F"/>
    <w:multiLevelType w:val="hybridMultilevel"/>
    <w:tmpl w:val="121C436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5AB521DE"/>
    <w:multiLevelType w:val="singleLevel"/>
    <w:tmpl w:val="B0CE6F36"/>
    <w:lvl w:ilvl="0">
      <w:start w:val="1"/>
      <w:numFmt w:val="decimal"/>
      <w:lvlText w:val="%1)"/>
      <w:lvlJc w:val="left"/>
      <w:pPr>
        <w:tabs>
          <w:tab w:val="num" w:pos="1353"/>
        </w:tabs>
        <w:ind w:left="1353" w:hanging="360"/>
      </w:pPr>
      <w:rPr>
        <w:rFonts w:ascii="Arial" w:hAnsi="Arial" w:cs="Arial" w:hint="default"/>
      </w:rPr>
    </w:lvl>
  </w:abstractNum>
  <w:abstractNum w:abstractNumId="37" w15:restartNumberingAfterBreak="0">
    <w:nsid w:val="5C335A1B"/>
    <w:multiLevelType w:val="hybridMultilevel"/>
    <w:tmpl w:val="C2A4A85C"/>
    <w:lvl w:ilvl="0" w:tplc="005E5ED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E006281"/>
    <w:multiLevelType w:val="hybridMultilevel"/>
    <w:tmpl w:val="B39CF682"/>
    <w:lvl w:ilvl="0" w:tplc="0410000F">
      <w:start w:val="2"/>
      <w:numFmt w:val="decimal"/>
      <w:lvlText w:val="%1."/>
      <w:lvlJc w:val="left"/>
      <w:pPr>
        <w:tabs>
          <w:tab w:val="num" w:pos="502"/>
        </w:tabs>
        <w:ind w:left="502" w:hanging="360"/>
      </w:pPr>
      <w:rPr>
        <w:rFonts w:hint="default"/>
      </w:rPr>
    </w:lvl>
    <w:lvl w:ilvl="1" w:tplc="F1166B0C">
      <w:start w:val="1"/>
      <w:numFmt w:val="lowerLetter"/>
      <w:lvlText w:val="%2)"/>
      <w:lvlJc w:val="left"/>
      <w:pPr>
        <w:tabs>
          <w:tab w:val="num" w:pos="1222"/>
        </w:tabs>
        <w:ind w:left="1222" w:hanging="360"/>
      </w:pPr>
      <w:rPr>
        <w:rFonts w:hint="default"/>
      </w:rPr>
    </w:lvl>
    <w:lvl w:ilvl="2" w:tplc="6FAEF98E">
      <w:start w:val="10"/>
      <w:numFmt w:val="decimal"/>
      <w:lvlText w:val="%3"/>
      <w:lvlJc w:val="left"/>
      <w:pPr>
        <w:tabs>
          <w:tab w:val="num" w:pos="360"/>
        </w:tabs>
        <w:ind w:left="360" w:hanging="360"/>
      </w:pPr>
      <w:rPr>
        <w:rFonts w:hint="default"/>
      </w:rPr>
    </w:lvl>
    <w:lvl w:ilvl="3" w:tplc="0410000F">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9" w15:restartNumberingAfterBreak="0">
    <w:nsid w:val="638D5F5D"/>
    <w:multiLevelType w:val="hybridMultilevel"/>
    <w:tmpl w:val="6636A89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0" w15:restartNumberingAfterBreak="0">
    <w:nsid w:val="692279CA"/>
    <w:multiLevelType w:val="hybridMultilevel"/>
    <w:tmpl w:val="7832801E"/>
    <w:lvl w:ilvl="0" w:tplc="D0A26072">
      <w:start w:val="1"/>
      <w:numFmt w:val="lowerLetter"/>
      <w:lvlText w:val="%1)"/>
      <w:lvlJc w:val="left"/>
      <w:pPr>
        <w:ind w:left="284" w:hanging="284"/>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69583085"/>
    <w:multiLevelType w:val="hybridMultilevel"/>
    <w:tmpl w:val="FA2871E4"/>
    <w:lvl w:ilvl="0" w:tplc="FFFFFFFF">
      <w:start w:val="1"/>
      <w:numFmt w:val="decimal"/>
      <w:lvlText w:val="%1)"/>
      <w:lvlJc w:val="left"/>
      <w:pPr>
        <w:tabs>
          <w:tab w:val="num" w:pos="360"/>
        </w:tabs>
        <w:ind w:left="360" w:hanging="360"/>
      </w:pPr>
      <w:rPr>
        <w:rFonts w:hint="default"/>
      </w:rPr>
    </w:lvl>
    <w:lvl w:ilvl="1" w:tplc="04100017">
      <w:start w:val="1"/>
      <w:numFmt w:val="lowerLetter"/>
      <w:lvlText w:val="%2)"/>
      <w:lvlJc w:val="left"/>
      <w:pPr>
        <w:tabs>
          <w:tab w:val="num" w:pos="360"/>
        </w:tabs>
        <w:ind w:left="36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2" w15:restartNumberingAfterBreak="0">
    <w:nsid w:val="6A034711"/>
    <w:multiLevelType w:val="hybridMultilevel"/>
    <w:tmpl w:val="2D76645A"/>
    <w:lvl w:ilvl="0" w:tplc="04100017">
      <w:start w:val="1"/>
      <w:numFmt w:val="lowerLetter"/>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43" w15:restartNumberingAfterBreak="0">
    <w:nsid w:val="72783796"/>
    <w:multiLevelType w:val="hybridMultilevel"/>
    <w:tmpl w:val="7EECC816"/>
    <w:lvl w:ilvl="0" w:tplc="0410000B">
      <w:start w:val="1"/>
      <w:numFmt w:val="bullet"/>
      <w:lvlText w:val=""/>
      <w:lvlJc w:val="left"/>
      <w:pPr>
        <w:ind w:left="780" w:hanging="360"/>
      </w:pPr>
      <w:rPr>
        <w:rFonts w:ascii="Cambria Math" w:hAnsi="Cambria Math" w:hint="default"/>
      </w:rPr>
    </w:lvl>
    <w:lvl w:ilvl="1" w:tplc="0410000B">
      <w:start w:val="1"/>
      <w:numFmt w:val="bullet"/>
      <w:lvlText w:val=""/>
      <w:lvlJc w:val="left"/>
      <w:pPr>
        <w:ind w:left="1500" w:hanging="360"/>
      </w:pPr>
      <w:rPr>
        <w:rFonts w:ascii="Cambria Math" w:hAnsi="Cambria Math" w:hint="default"/>
      </w:rPr>
    </w:lvl>
    <w:lvl w:ilvl="2" w:tplc="04100005" w:tentative="1">
      <w:start w:val="1"/>
      <w:numFmt w:val="bullet"/>
      <w:lvlText w:val=""/>
      <w:lvlJc w:val="left"/>
      <w:pPr>
        <w:ind w:left="2220" w:hanging="360"/>
      </w:pPr>
      <w:rPr>
        <w:rFonts w:ascii="Cambria Math" w:hAnsi="Cambria Math" w:hint="default"/>
      </w:rPr>
    </w:lvl>
    <w:lvl w:ilvl="3" w:tplc="04100001" w:tentative="1">
      <w:start w:val="1"/>
      <w:numFmt w:val="bullet"/>
      <w:lvlText w:val=""/>
      <w:lvlJc w:val="left"/>
      <w:pPr>
        <w:ind w:left="2940" w:hanging="360"/>
      </w:pPr>
      <w:rPr>
        <w:rFonts w:ascii="Wingdings 3" w:hAnsi="Wingdings 3" w:hint="default"/>
      </w:rPr>
    </w:lvl>
    <w:lvl w:ilvl="4" w:tplc="04100003" w:tentative="1">
      <w:start w:val="1"/>
      <w:numFmt w:val="bullet"/>
      <w:lvlText w:val="o"/>
      <w:lvlJc w:val="left"/>
      <w:pPr>
        <w:ind w:left="3660" w:hanging="360"/>
      </w:pPr>
      <w:rPr>
        <w:rFonts w:ascii="Wingdings" w:hAnsi="Wingdings" w:cs="Wingdings" w:hint="default"/>
      </w:rPr>
    </w:lvl>
    <w:lvl w:ilvl="5" w:tplc="04100005" w:tentative="1">
      <w:start w:val="1"/>
      <w:numFmt w:val="bullet"/>
      <w:lvlText w:val=""/>
      <w:lvlJc w:val="left"/>
      <w:pPr>
        <w:ind w:left="4380" w:hanging="360"/>
      </w:pPr>
      <w:rPr>
        <w:rFonts w:ascii="Cambria Math" w:hAnsi="Cambria Math" w:hint="default"/>
      </w:rPr>
    </w:lvl>
    <w:lvl w:ilvl="6" w:tplc="04100001" w:tentative="1">
      <w:start w:val="1"/>
      <w:numFmt w:val="bullet"/>
      <w:lvlText w:val=""/>
      <w:lvlJc w:val="left"/>
      <w:pPr>
        <w:ind w:left="5100" w:hanging="360"/>
      </w:pPr>
      <w:rPr>
        <w:rFonts w:ascii="Wingdings 3" w:hAnsi="Wingdings 3" w:hint="default"/>
      </w:rPr>
    </w:lvl>
    <w:lvl w:ilvl="7" w:tplc="04100003" w:tentative="1">
      <w:start w:val="1"/>
      <w:numFmt w:val="bullet"/>
      <w:lvlText w:val="o"/>
      <w:lvlJc w:val="left"/>
      <w:pPr>
        <w:ind w:left="5820" w:hanging="360"/>
      </w:pPr>
      <w:rPr>
        <w:rFonts w:ascii="Wingdings" w:hAnsi="Wingdings" w:cs="Wingdings" w:hint="default"/>
      </w:rPr>
    </w:lvl>
    <w:lvl w:ilvl="8" w:tplc="04100005" w:tentative="1">
      <w:start w:val="1"/>
      <w:numFmt w:val="bullet"/>
      <w:lvlText w:val=""/>
      <w:lvlJc w:val="left"/>
      <w:pPr>
        <w:ind w:left="6540" w:hanging="360"/>
      </w:pPr>
      <w:rPr>
        <w:rFonts w:ascii="Cambria Math" w:hAnsi="Cambria Math" w:hint="default"/>
      </w:rPr>
    </w:lvl>
  </w:abstractNum>
  <w:abstractNum w:abstractNumId="44" w15:restartNumberingAfterBreak="0">
    <w:nsid w:val="788B46CE"/>
    <w:multiLevelType w:val="hybridMultilevel"/>
    <w:tmpl w:val="40682BA0"/>
    <w:lvl w:ilvl="0" w:tplc="C46A921C">
      <w:start w:val="1"/>
      <w:numFmt w:val="decimal"/>
      <w:lvlText w:val="%1."/>
      <w:lvlJc w:val="left"/>
      <w:pPr>
        <w:tabs>
          <w:tab w:val="num" w:pos="360"/>
        </w:tabs>
        <w:ind w:left="360" w:hanging="360"/>
      </w:pPr>
      <w:rPr>
        <w:b/>
      </w:rPr>
    </w:lvl>
    <w:lvl w:ilvl="1" w:tplc="41C6DE92">
      <w:start w:val="1"/>
      <w:numFmt w:val="lowerLetter"/>
      <w:lvlText w:val="%2)"/>
      <w:lvlJc w:val="left"/>
      <w:pPr>
        <w:tabs>
          <w:tab w:val="num" w:pos="357"/>
        </w:tabs>
        <w:ind w:left="714" w:hanging="357"/>
      </w:pPr>
      <w:rPr>
        <w:b/>
        <w:i w:val="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5" w15:restartNumberingAfterBreak="0">
    <w:nsid w:val="7C8E267E"/>
    <w:multiLevelType w:val="hybridMultilevel"/>
    <w:tmpl w:val="42B48A0C"/>
    <w:lvl w:ilvl="0" w:tplc="3BE4EF70">
      <w:start w:val="1"/>
      <w:numFmt w:val="lowerLetter"/>
      <w:lvlText w:val="%1)"/>
      <w:lvlJc w:val="left"/>
      <w:pPr>
        <w:tabs>
          <w:tab w:val="num" w:pos="360"/>
        </w:tabs>
        <w:ind w:left="360" w:hanging="360"/>
      </w:pPr>
      <w:rPr>
        <w:rFonts w:hint="default"/>
        <w:b/>
        <w:i w:val="0"/>
      </w:rPr>
    </w:lvl>
    <w:lvl w:ilvl="1" w:tplc="2BDE61DA">
      <w:start w:val="6"/>
      <w:numFmt w:val="bullet"/>
      <w:lvlText w:val="-"/>
      <w:lvlJc w:val="left"/>
      <w:pPr>
        <w:tabs>
          <w:tab w:val="num" w:pos="360"/>
        </w:tabs>
        <w:ind w:left="360" w:hanging="360"/>
      </w:pPr>
      <w:rPr>
        <w:rFonts w:hint="default"/>
        <w:b/>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C994D3B"/>
    <w:multiLevelType w:val="hybridMultilevel"/>
    <w:tmpl w:val="3BCA1156"/>
    <w:lvl w:ilvl="0" w:tplc="4E904FF0">
      <w:start w:val="1"/>
      <w:numFmt w:val="lowerLetter"/>
      <w:lvlText w:val="%1)"/>
      <w:lvlJc w:val="left"/>
      <w:pPr>
        <w:tabs>
          <w:tab w:val="num" w:pos="360"/>
        </w:tabs>
        <w:ind w:left="360" w:hanging="360"/>
      </w:pPr>
      <w:rPr>
        <w:rFonts w:hint="default"/>
        <w:b/>
        <w:i w:val="0"/>
      </w:rPr>
    </w:lvl>
    <w:lvl w:ilvl="1" w:tplc="9422417E">
      <w:start w:val="5"/>
      <w:numFmt w:val="decimal"/>
      <w:lvlText w:val="%2"/>
      <w:lvlJc w:val="left"/>
      <w:pPr>
        <w:tabs>
          <w:tab w:val="num" w:pos="360"/>
        </w:tabs>
        <w:ind w:left="36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D5E5D8F"/>
    <w:multiLevelType w:val="hybridMultilevel"/>
    <w:tmpl w:val="E89AFC0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13"/>
  </w:num>
  <w:num w:numId="2">
    <w:abstractNumId w:val="31"/>
  </w:num>
  <w:num w:numId="3">
    <w:abstractNumId w:val="44"/>
  </w:num>
  <w:num w:numId="4">
    <w:abstractNumId w:val="3"/>
  </w:num>
  <w:num w:numId="5">
    <w:abstractNumId w:val="36"/>
  </w:num>
  <w:num w:numId="6">
    <w:abstractNumId w:val="24"/>
  </w:num>
  <w:num w:numId="7">
    <w:abstractNumId w:val="29"/>
  </w:num>
  <w:num w:numId="8">
    <w:abstractNumId w:val="5"/>
  </w:num>
  <w:num w:numId="9">
    <w:abstractNumId w:val="9"/>
  </w:num>
  <w:num w:numId="10">
    <w:abstractNumId w:val="38"/>
  </w:num>
  <w:num w:numId="11">
    <w:abstractNumId w:val="14"/>
  </w:num>
  <w:num w:numId="12">
    <w:abstractNumId w:val="30"/>
  </w:num>
  <w:num w:numId="13">
    <w:abstractNumId w:val="32"/>
  </w:num>
  <w:num w:numId="14">
    <w:abstractNumId w:val="20"/>
  </w:num>
  <w:num w:numId="15">
    <w:abstractNumId w:val="46"/>
  </w:num>
  <w:num w:numId="16">
    <w:abstractNumId w:val="19"/>
  </w:num>
  <w:num w:numId="17">
    <w:abstractNumId w:val="41"/>
  </w:num>
  <w:num w:numId="18">
    <w:abstractNumId w:val="26"/>
  </w:num>
  <w:num w:numId="19">
    <w:abstractNumId w:val="45"/>
  </w:num>
  <w:num w:numId="20">
    <w:abstractNumId w:val="25"/>
  </w:num>
  <w:num w:numId="21">
    <w:abstractNumId w:val="6"/>
  </w:num>
  <w:num w:numId="22">
    <w:abstractNumId w:val="22"/>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3"/>
  </w:num>
  <w:num w:numId="26">
    <w:abstractNumId w:val="21"/>
  </w:num>
  <w:num w:numId="27">
    <w:abstractNumId w:val="18"/>
  </w:num>
  <w:num w:numId="28">
    <w:abstractNumId w:val="37"/>
  </w:num>
  <w:num w:numId="29">
    <w:abstractNumId w:val="12"/>
  </w:num>
  <w:num w:numId="30">
    <w:abstractNumId w:val="15"/>
  </w:num>
  <w:num w:numId="31">
    <w:abstractNumId w:val="0"/>
  </w:num>
  <w:num w:numId="32">
    <w:abstractNumId w:val="1"/>
  </w:num>
  <w:num w:numId="33">
    <w:abstractNumId w:val="8"/>
  </w:num>
  <w:num w:numId="34">
    <w:abstractNumId w:val="27"/>
  </w:num>
  <w:num w:numId="35">
    <w:abstractNumId w:val="43"/>
  </w:num>
  <w:num w:numId="36">
    <w:abstractNumId w:val="7"/>
  </w:num>
  <w:num w:numId="37">
    <w:abstractNumId w:val="23"/>
  </w:num>
  <w:num w:numId="38">
    <w:abstractNumId w:val="10"/>
  </w:num>
  <w:num w:numId="39">
    <w:abstractNumId w:val="4"/>
  </w:num>
  <w:num w:numId="40">
    <w:abstractNumId w:val="11"/>
  </w:num>
  <w:num w:numId="41">
    <w:abstractNumId w:val="17"/>
  </w:num>
  <w:num w:numId="42">
    <w:abstractNumId w:val="35"/>
  </w:num>
  <w:num w:numId="43">
    <w:abstractNumId w:val="47"/>
  </w:num>
  <w:num w:numId="44">
    <w:abstractNumId w:val="40"/>
  </w:num>
  <w:num w:numId="45">
    <w:abstractNumId w:val="16"/>
  </w:num>
  <w:num w:numId="46">
    <w:abstractNumId w:val="2"/>
  </w:num>
  <w:num w:numId="47">
    <w:abstractNumId w:val="42"/>
  </w:num>
  <w:num w:numId="48">
    <w:abstractNumId w:val="39"/>
  </w:num>
  <w:num w:numId="4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9220"/>
    <o:shapelayout v:ext="edit">
      <o:idmap v:ext="edit" data="9"/>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DE"/>
    <w:rsid w:val="00003A13"/>
    <w:rsid w:val="00006E54"/>
    <w:rsid w:val="0000712E"/>
    <w:rsid w:val="00007823"/>
    <w:rsid w:val="00011708"/>
    <w:rsid w:val="00014016"/>
    <w:rsid w:val="000156DB"/>
    <w:rsid w:val="00015F30"/>
    <w:rsid w:val="000179AA"/>
    <w:rsid w:val="00022614"/>
    <w:rsid w:val="00022A44"/>
    <w:rsid w:val="00023E85"/>
    <w:rsid w:val="000247F4"/>
    <w:rsid w:val="0002589D"/>
    <w:rsid w:val="00027703"/>
    <w:rsid w:val="000279F5"/>
    <w:rsid w:val="00030C43"/>
    <w:rsid w:val="000322BC"/>
    <w:rsid w:val="00034501"/>
    <w:rsid w:val="000373E9"/>
    <w:rsid w:val="0004218A"/>
    <w:rsid w:val="0004335D"/>
    <w:rsid w:val="00044D38"/>
    <w:rsid w:val="0004565C"/>
    <w:rsid w:val="00047700"/>
    <w:rsid w:val="00051780"/>
    <w:rsid w:val="00053DEE"/>
    <w:rsid w:val="000570AE"/>
    <w:rsid w:val="00060A68"/>
    <w:rsid w:val="00064B18"/>
    <w:rsid w:val="00070A83"/>
    <w:rsid w:val="00080031"/>
    <w:rsid w:val="000801D8"/>
    <w:rsid w:val="00082F44"/>
    <w:rsid w:val="000900B2"/>
    <w:rsid w:val="000902C2"/>
    <w:rsid w:val="000918A6"/>
    <w:rsid w:val="00093575"/>
    <w:rsid w:val="000A0DD6"/>
    <w:rsid w:val="000B25AB"/>
    <w:rsid w:val="000B2C4E"/>
    <w:rsid w:val="000B3114"/>
    <w:rsid w:val="000B7876"/>
    <w:rsid w:val="000C3D21"/>
    <w:rsid w:val="000C6F66"/>
    <w:rsid w:val="000D0964"/>
    <w:rsid w:val="000D38D5"/>
    <w:rsid w:val="000D51D1"/>
    <w:rsid w:val="000D5E16"/>
    <w:rsid w:val="000D663A"/>
    <w:rsid w:val="000D67EC"/>
    <w:rsid w:val="000E102F"/>
    <w:rsid w:val="000E420E"/>
    <w:rsid w:val="000E74A7"/>
    <w:rsid w:val="000F024C"/>
    <w:rsid w:val="000F3BDD"/>
    <w:rsid w:val="000F613A"/>
    <w:rsid w:val="000F6888"/>
    <w:rsid w:val="000F6E4F"/>
    <w:rsid w:val="000F7254"/>
    <w:rsid w:val="000F7BED"/>
    <w:rsid w:val="0011173B"/>
    <w:rsid w:val="0012035D"/>
    <w:rsid w:val="00127396"/>
    <w:rsid w:val="001310CE"/>
    <w:rsid w:val="001343F9"/>
    <w:rsid w:val="001363E5"/>
    <w:rsid w:val="00142B7F"/>
    <w:rsid w:val="0014491A"/>
    <w:rsid w:val="00147CCC"/>
    <w:rsid w:val="0015116C"/>
    <w:rsid w:val="001516B0"/>
    <w:rsid w:val="00152DE7"/>
    <w:rsid w:val="00154087"/>
    <w:rsid w:val="00155B92"/>
    <w:rsid w:val="001575F9"/>
    <w:rsid w:val="00157E3F"/>
    <w:rsid w:val="001636C3"/>
    <w:rsid w:val="00164E4E"/>
    <w:rsid w:val="00173D99"/>
    <w:rsid w:val="0018096E"/>
    <w:rsid w:val="00184F95"/>
    <w:rsid w:val="00185D16"/>
    <w:rsid w:val="00192175"/>
    <w:rsid w:val="00192C9C"/>
    <w:rsid w:val="00193967"/>
    <w:rsid w:val="00193A38"/>
    <w:rsid w:val="00197411"/>
    <w:rsid w:val="001B1604"/>
    <w:rsid w:val="001B7818"/>
    <w:rsid w:val="001C254E"/>
    <w:rsid w:val="001D4322"/>
    <w:rsid w:val="001D489E"/>
    <w:rsid w:val="001D4F2A"/>
    <w:rsid w:val="001D7D80"/>
    <w:rsid w:val="001E1134"/>
    <w:rsid w:val="001E1576"/>
    <w:rsid w:val="001E6AEE"/>
    <w:rsid w:val="001F125D"/>
    <w:rsid w:val="001F450D"/>
    <w:rsid w:val="001F466E"/>
    <w:rsid w:val="0020063C"/>
    <w:rsid w:val="00204562"/>
    <w:rsid w:val="00204B9F"/>
    <w:rsid w:val="002051AB"/>
    <w:rsid w:val="00206636"/>
    <w:rsid w:val="0020767D"/>
    <w:rsid w:val="00207BC5"/>
    <w:rsid w:val="00210195"/>
    <w:rsid w:val="0021171B"/>
    <w:rsid w:val="00214515"/>
    <w:rsid w:val="0021564D"/>
    <w:rsid w:val="0021747B"/>
    <w:rsid w:val="00217AB0"/>
    <w:rsid w:val="00220F93"/>
    <w:rsid w:val="00221653"/>
    <w:rsid w:val="00222AA6"/>
    <w:rsid w:val="00227B26"/>
    <w:rsid w:val="0023342C"/>
    <w:rsid w:val="00235741"/>
    <w:rsid w:val="00237348"/>
    <w:rsid w:val="00240BCD"/>
    <w:rsid w:val="002463B2"/>
    <w:rsid w:val="002466AF"/>
    <w:rsid w:val="0024682A"/>
    <w:rsid w:val="00246D80"/>
    <w:rsid w:val="00247D2C"/>
    <w:rsid w:val="00250FD3"/>
    <w:rsid w:val="002517FB"/>
    <w:rsid w:val="00252FAD"/>
    <w:rsid w:val="002550C5"/>
    <w:rsid w:val="00256A2A"/>
    <w:rsid w:val="002638BC"/>
    <w:rsid w:val="00264354"/>
    <w:rsid w:val="00265391"/>
    <w:rsid w:val="00270337"/>
    <w:rsid w:val="00270579"/>
    <w:rsid w:val="002762EA"/>
    <w:rsid w:val="00284F20"/>
    <w:rsid w:val="00285517"/>
    <w:rsid w:val="00286F44"/>
    <w:rsid w:val="0029027F"/>
    <w:rsid w:val="0029253D"/>
    <w:rsid w:val="00294289"/>
    <w:rsid w:val="00294DE3"/>
    <w:rsid w:val="00297197"/>
    <w:rsid w:val="00297C12"/>
    <w:rsid w:val="002A11E4"/>
    <w:rsid w:val="002A3BE0"/>
    <w:rsid w:val="002A59C3"/>
    <w:rsid w:val="002A66D4"/>
    <w:rsid w:val="002A7310"/>
    <w:rsid w:val="002A742E"/>
    <w:rsid w:val="002A7745"/>
    <w:rsid w:val="002A79F2"/>
    <w:rsid w:val="002B1A9B"/>
    <w:rsid w:val="002B20DE"/>
    <w:rsid w:val="002B4CBF"/>
    <w:rsid w:val="002B5BBB"/>
    <w:rsid w:val="002B6142"/>
    <w:rsid w:val="002C3A57"/>
    <w:rsid w:val="002C4EC3"/>
    <w:rsid w:val="002C704D"/>
    <w:rsid w:val="002D1566"/>
    <w:rsid w:val="002D169E"/>
    <w:rsid w:val="002D2C4D"/>
    <w:rsid w:val="002D4B9F"/>
    <w:rsid w:val="002E2057"/>
    <w:rsid w:val="002E3214"/>
    <w:rsid w:val="002F07B1"/>
    <w:rsid w:val="002F128B"/>
    <w:rsid w:val="002F1587"/>
    <w:rsid w:val="00300B4A"/>
    <w:rsid w:val="003016C8"/>
    <w:rsid w:val="00315F1A"/>
    <w:rsid w:val="00321152"/>
    <w:rsid w:val="0032460A"/>
    <w:rsid w:val="003315CC"/>
    <w:rsid w:val="00331D51"/>
    <w:rsid w:val="00342F69"/>
    <w:rsid w:val="0034474E"/>
    <w:rsid w:val="00346D75"/>
    <w:rsid w:val="0034747E"/>
    <w:rsid w:val="003501A6"/>
    <w:rsid w:val="00350AA5"/>
    <w:rsid w:val="00354F1C"/>
    <w:rsid w:val="00355EF8"/>
    <w:rsid w:val="00356F4D"/>
    <w:rsid w:val="00363EFA"/>
    <w:rsid w:val="00364692"/>
    <w:rsid w:val="00364EBA"/>
    <w:rsid w:val="00365192"/>
    <w:rsid w:val="00365F72"/>
    <w:rsid w:val="00370604"/>
    <w:rsid w:val="003719CF"/>
    <w:rsid w:val="00372770"/>
    <w:rsid w:val="00373CAA"/>
    <w:rsid w:val="003777E3"/>
    <w:rsid w:val="00384A04"/>
    <w:rsid w:val="00384EEF"/>
    <w:rsid w:val="003859DF"/>
    <w:rsid w:val="00386459"/>
    <w:rsid w:val="00386685"/>
    <w:rsid w:val="00390C64"/>
    <w:rsid w:val="00393274"/>
    <w:rsid w:val="003935F2"/>
    <w:rsid w:val="00394BAB"/>
    <w:rsid w:val="00396D8B"/>
    <w:rsid w:val="00396DCA"/>
    <w:rsid w:val="0039772B"/>
    <w:rsid w:val="003979B5"/>
    <w:rsid w:val="003A1F36"/>
    <w:rsid w:val="003A3321"/>
    <w:rsid w:val="003A5F5B"/>
    <w:rsid w:val="003A633B"/>
    <w:rsid w:val="003A7B70"/>
    <w:rsid w:val="003B4C1C"/>
    <w:rsid w:val="003C1B9D"/>
    <w:rsid w:val="003C4800"/>
    <w:rsid w:val="003C4997"/>
    <w:rsid w:val="003C52BD"/>
    <w:rsid w:val="003C549A"/>
    <w:rsid w:val="003C62FE"/>
    <w:rsid w:val="003C7DD0"/>
    <w:rsid w:val="003D1CD1"/>
    <w:rsid w:val="003D7830"/>
    <w:rsid w:val="003E1C2B"/>
    <w:rsid w:val="003E2956"/>
    <w:rsid w:val="003E46FB"/>
    <w:rsid w:val="003E4E73"/>
    <w:rsid w:val="003F25B5"/>
    <w:rsid w:val="003F3EB8"/>
    <w:rsid w:val="003F7BF8"/>
    <w:rsid w:val="00402E40"/>
    <w:rsid w:val="00403E2B"/>
    <w:rsid w:val="004051CC"/>
    <w:rsid w:val="00405CF8"/>
    <w:rsid w:val="00405E30"/>
    <w:rsid w:val="004112BE"/>
    <w:rsid w:val="004116C2"/>
    <w:rsid w:val="00413FA3"/>
    <w:rsid w:val="004167C2"/>
    <w:rsid w:val="00417A4B"/>
    <w:rsid w:val="00421BF1"/>
    <w:rsid w:val="0042264F"/>
    <w:rsid w:val="0042382E"/>
    <w:rsid w:val="00426415"/>
    <w:rsid w:val="00430D10"/>
    <w:rsid w:val="0043188E"/>
    <w:rsid w:val="00431FFA"/>
    <w:rsid w:val="004370E6"/>
    <w:rsid w:val="004404E8"/>
    <w:rsid w:val="00443B3D"/>
    <w:rsid w:val="00443D94"/>
    <w:rsid w:val="00444D01"/>
    <w:rsid w:val="00445E85"/>
    <w:rsid w:val="00456020"/>
    <w:rsid w:val="00456430"/>
    <w:rsid w:val="004576E6"/>
    <w:rsid w:val="004615D7"/>
    <w:rsid w:val="004700EA"/>
    <w:rsid w:val="00471AE0"/>
    <w:rsid w:val="0047443B"/>
    <w:rsid w:val="004751C6"/>
    <w:rsid w:val="00477B6D"/>
    <w:rsid w:val="00480507"/>
    <w:rsid w:val="00480F4B"/>
    <w:rsid w:val="00481DDA"/>
    <w:rsid w:val="00490DA8"/>
    <w:rsid w:val="00492BC2"/>
    <w:rsid w:val="00493F6C"/>
    <w:rsid w:val="00497CF3"/>
    <w:rsid w:val="004A2EDF"/>
    <w:rsid w:val="004A3292"/>
    <w:rsid w:val="004A4DB6"/>
    <w:rsid w:val="004A56BC"/>
    <w:rsid w:val="004B0FCD"/>
    <w:rsid w:val="004B318E"/>
    <w:rsid w:val="004B40D4"/>
    <w:rsid w:val="004B46F9"/>
    <w:rsid w:val="004C2203"/>
    <w:rsid w:val="004C25BE"/>
    <w:rsid w:val="004C3ACF"/>
    <w:rsid w:val="004C4446"/>
    <w:rsid w:val="004D0025"/>
    <w:rsid w:val="004D26D4"/>
    <w:rsid w:val="004D4B00"/>
    <w:rsid w:val="004D4D28"/>
    <w:rsid w:val="004D728F"/>
    <w:rsid w:val="004E04C6"/>
    <w:rsid w:val="004E0AE0"/>
    <w:rsid w:val="004E0DE1"/>
    <w:rsid w:val="004E1CD2"/>
    <w:rsid w:val="004E2D04"/>
    <w:rsid w:val="004E43B5"/>
    <w:rsid w:val="004E4667"/>
    <w:rsid w:val="004E6F35"/>
    <w:rsid w:val="004E792B"/>
    <w:rsid w:val="004F090C"/>
    <w:rsid w:val="00507B54"/>
    <w:rsid w:val="00510538"/>
    <w:rsid w:val="0051272E"/>
    <w:rsid w:val="00512EF9"/>
    <w:rsid w:val="00521C7D"/>
    <w:rsid w:val="00523344"/>
    <w:rsid w:val="005258D9"/>
    <w:rsid w:val="005271B9"/>
    <w:rsid w:val="00527976"/>
    <w:rsid w:val="005305A3"/>
    <w:rsid w:val="00531E0A"/>
    <w:rsid w:val="00531EC7"/>
    <w:rsid w:val="0053689B"/>
    <w:rsid w:val="00541393"/>
    <w:rsid w:val="00542827"/>
    <w:rsid w:val="005429B7"/>
    <w:rsid w:val="0054457A"/>
    <w:rsid w:val="00544AE2"/>
    <w:rsid w:val="00545445"/>
    <w:rsid w:val="00557DEA"/>
    <w:rsid w:val="005632BB"/>
    <w:rsid w:val="00570A4F"/>
    <w:rsid w:val="0058086F"/>
    <w:rsid w:val="0058091E"/>
    <w:rsid w:val="00582198"/>
    <w:rsid w:val="0058230B"/>
    <w:rsid w:val="00582D81"/>
    <w:rsid w:val="00583907"/>
    <w:rsid w:val="00587128"/>
    <w:rsid w:val="00591740"/>
    <w:rsid w:val="005917C8"/>
    <w:rsid w:val="0059476C"/>
    <w:rsid w:val="00594BB0"/>
    <w:rsid w:val="005952C9"/>
    <w:rsid w:val="00595C4C"/>
    <w:rsid w:val="00595ECF"/>
    <w:rsid w:val="00597F52"/>
    <w:rsid w:val="005A02FE"/>
    <w:rsid w:val="005A208A"/>
    <w:rsid w:val="005A3DDE"/>
    <w:rsid w:val="005A58DD"/>
    <w:rsid w:val="005A6DA6"/>
    <w:rsid w:val="005A7AA1"/>
    <w:rsid w:val="005B37EB"/>
    <w:rsid w:val="005B3E14"/>
    <w:rsid w:val="005B497D"/>
    <w:rsid w:val="005B4E54"/>
    <w:rsid w:val="005B51AE"/>
    <w:rsid w:val="005B61AF"/>
    <w:rsid w:val="005C273F"/>
    <w:rsid w:val="005C4599"/>
    <w:rsid w:val="005C49F0"/>
    <w:rsid w:val="005C4B0A"/>
    <w:rsid w:val="005D1B27"/>
    <w:rsid w:val="005D3051"/>
    <w:rsid w:val="005D742F"/>
    <w:rsid w:val="005E038F"/>
    <w:rsid w:val="005E178D"/>
    <w:rsid w:val="005E2BDC"/>
    <w:rsid w:val="005E4491"/>
    <w:rsid w:val="005E4EF9"/>
    <w:rsid w:val="005F7311"/>
    <w:rsid w:val="0060132B"/>
    <w:rsid w:val="00601654"/>
    <w:rsid w:val="00603B90"/>
    <w:rsid w:val="00603D2F"/>
    <w:rsid w:val="00603FBE"/>
    <w:rsid w:val="006044E1"/>
    <w:rsid w:val="00606CC6"/>
    <w:rsid w:val="006178B6"/>
    <w:rsid w:val="00617AA5"/>
    <w:rsid w:val="006228AB"/>
    <w:rsid w:val="00624C50"/>
    <w:rsid w:val="006315BE"/>
    <w:rsid w:val="00631A46"/>
    <w:rsid w:val="00631C69"/>
    <w:rsid w:val="0063224A"/>
    <w:rsid w:val="00634D3B"/>
    <w:rsid w:val="00635B47"/>
    <w:rsid w:val="00637C83"/>
    <w:rsid w:val="006443CB"/>
    <w:rsid w:val="0064761F"/>
    <w:rsid w:val="00651557"/>
    <w:rsid w:val="00651C25"/>
    <w:rsid w:val="006525DF"/>
    <w:rsid w:val="006527F3"/>
    <w:rsid w:val="00652847"/>
    <w:rsid w:val="006529FA"/>
    <w:rsid w:val="00654110"/>
    <w:rsid w:val="00661FFB"/>
    <w:rsid w:val="00663A5A"/>
    <w:rsid w:val="00663DBA"/>
    <w:rsid w:val="00666DA4"/>
    <w:rsid w:val="006726D4"/>
    <w:rsid w:val="00674AAC"/>
    <w:rsid w:val="006753EC"/>
    <w:rsid w:val="006802FF"/>
    <w:rsid w:val="006810D3"/>
    <w:rsid w:val="00685E67"/>
    <w:rsid w:val="006870E5"/>
    <w:rsid w:val="00687905"/>
    <w:rsid w:val="00687A9F"/>
    <w:rsid w:val="006930D7"/>
    <w:rsid w:val="00693299"/>
    <w:rsid w:val="00693A4C"/>
    <w:rsid w:val="00693B23"/>
    <w:rsid w:val="0069464A"/>
    <w:rsid w:val="0069584B"/>
    <w:rsid w:val="00696292"/>
    <w:rsid w:val="006A0517"/>
    <w:rsid w:val="006A7165"/>
    <w:rsid w:val="006B3F19"/>
    <w:rsid w:val="006B54B8"/>
    <w:rsid w:val="006C51EF"/>
    <w:rsid w:val="006D1910"/>
    <w:rsid w:val="006D5B42"/>
    <w:rsid w:val="006D7C54"/>
    <w:rsid w:val="006E0994"/>
    <w:rsid w:val="006E1FBB"/>
    <w:rsid w:val="006E29C6"/>
    <w:rsid w:val="006E3071"/>
    <w:rsid w:val="006E47FF"/>
    <w:rsid w:val="006E701F"/>
    <w:rsid w:val="006F202F"/>
    <w:rsid w:val="006F2D23"/>
    <w:rsid w:val="006F525B"/>
    <w:rsid w:val="006F5DE2"/>
    <w:rsid w:val="006F62E6"/>
    <w:rsid w:val="006F7F77"/>
    <w:rsid w:val="007001D1"/>
    <w:rsid w:val="007007A5"/>
    <w:rsid w:val="00700962"/>
    <w:rsid w:val="007025DC"/>
    <w:rsid w:val="00703C36"/>
    <w:rsid w:val="00703ED9"/>
    <w:rsid w:val="00705AB6"/>
    <w:rsid w:val="00722506"/>
    <w:rsid w:val="00722E4D"/>
    <w:rsid w:val="00723024"/>
    <w:rsid w:val="007242E4"/>
    <w:rsid w:val="0072538D"/>
    <w:rsid w:val="007254C4"/>
    <w:rsid w:val="00726844"/>
    <w:rsid w:val="00726F7B"/>
    <w:rsid w:val="007278FC"/>
    <w:rsid w:val="0073397B"/>
    <w:rsid w:val="00743EE8"/>
    <w:rsid w:val="00745198"/>
    <w:rsid w:val="00754782"/>
    <w:rsid w:val="00757B0B"/>
    <w:rsid w:val="00761484"/>
    <w:rsid w:val="00763E25"/>
    <w:rsid w:val="00763EA3"/>
    <w:rsid w:val="00765A63"/>
    <w:rsid w:val="0077116E"/>
    <w:rsid w:val="00773AB2"/>
    <w:rsid w:val="0077661D"/>
    <w:rsid w:val="007804B4"/>
    <w:rsid w:val="00780EE9"/>
    <w:rsid w:val="00786E33"/>
    <w:rsid w:val="00792121"/>
    <w:rsid w:val="0079422C"/>
    <w:rsid w:val="00794758"/>
    <w:rsid w:val="007A221B"/>
    <w:rsid w:val="007A6D59"/>
    <w:rsid w:val="007B2607"/>
    <w:rsid w:val="007B5D9F"/>
    <w:rsid w:val="007B5EB6"/>
    <w:rsid w:val="007C20B8"/>
    <w:rsid w:val="007C2692"/>
    <w:rsid w:val="007C3D4D"/>
    <w:rsid w:val="007C4241"/>
    <w:rsid w:val="007C62A9"/>
    <w:rsid w:val="007C6505"/>
    <w:rsid w:val="007D0A10"/>
    <w:rsid w:val="007D2C13"/>
    <w:rsid w:val="007D3570"/>
    <w:rsid w:val="007E4CE1"/>
    <w:rsid w:val="007E518B"/>
    <w:rsid w:val="007E55C0"/>
    <w:rsid w:val="007F0296"/>
    <w:rsid w:val="007F1AEF"/>
    <w:rsid w:val="007F3A04"/>
    <w:rsid w:val="007F3A3A"/>
    <w:rsid w:val="007F4A65"/>
    <w:rsid w:val="0080153F"/>
    <w:rsid w:val="00803EA3"/>
    <w:rsid w:val="00804A17"/>
    <w:rsid w:val="00807188"/>
    <w:rsid w:val="0081093C"/>
    <w:rsid w:val="00810D08"/>
    <w:rsid w:val="00812093"/>
    <w:rsid w:val="00814D03"/>
    <w:rsid w:val="00820883"/>
    <w:rsid w:val="008356AB"/>
    <w:rsid w:val="00835D23"/>
    <w:rsid w:val="00836BC8"/>
    <w:rsid w:val="00840A6B"/>
    <w:rsid w:val="00850A1F"/>
    <w:rsid w:val="00852451"/>
    <w:rsid w:val="00860E6D"/>
    <w:rsid w:val="00874F17"/>
    <w:rsid w:val="00877C66"/>
    <w:rsid w:val="00877DAA"/>
    <w:rsid w:val="0089096F"/>
    <w:rsid w:val="008946B4"/>
    <w:rsid w:val="008A49F8"/>
    <w:rsid w:val="008A55DC"/>
    <w:rsid w:val="008A6B8B"/>
    <w:rsid w:val="008A6D86"/>
    <w:rsid w:val="008B4EF9"/>
    <w:rsid w:val="008B7206"/>
    <w:rsid w:val="008C2C03"/>
    <w:rsid w:val="008C6C2A"/>
    <w:rsid w:val="008C7031"/>
    <w:rsid w:val="008F5499"/>
    <w:rsid w:val="008F7976"/>
    <w:rsid w:val="008F7B27"/>
    <w:rsid w:val="008F7D31"/>
    <w:rsid w:val="009027F5"/>
    <w:rsid w:val="00904305"/>
    <w:rsid w:val="009054FC"/>
    <w:rsid w:val="00905930"/>
    <w:rsid w:val="00906D78"/>
    <w:rsid w:val="00907C8A"/>
    <w:rsid w:val="00916862"/>
    <w:rsid w:val="0092125B"/>
    <w:rsid w:val="00922C72"/>
    <w:rsid w:val="00926692"/>
    <w:rsid w:val="009270BB"/>
    <w:rsid w:val="009318D4"/>
    <w:rsid w:val="0093388C"/>
    <w:rsid w:val="00935F4C"/>
    <w:rsid w:val="009364C3"/>
    <w:rsid w:val="0094304A"/>
    <w:rsid w:val="0094337F"/>
    <w:rsid w:val="00943ED7"/>
    <w:rsid w:val="009502F8"/>
    <w:rsid w:val="00950673"/>
    <w:rsid w:val="0095068A"/>
    <w:rsid w:val="00950F5A"/>
    <w:rsid w:val="00953EF6"/>
    <w:rsid w:val="0095477A"/>
    <w:rsid w:val="00955F5D"/>
    <w:rsid w:val="00956AED"/>
    <w:rsid w:val="0095745A"/>
    <w:rsid w:val="00957BEC"/>
    <w:rsid w:val="00957D65"/>
    <w:rsid w:val="009607C9"/>
    <w:rsid w:val="00961711"/>
    <w:rsid w:val="00963C9D"/>
    <w:rsid w:val="00964BD1"/>
    <w:rsid w:val="00966F1B"/>
    <w:rsid w:val="00967BA4"/>
    <w:rsid w:val="0097009E"/>
    <w:rsid w:val="00974E17"/>
    <w:rsid w:val="00980633"/>
    <w:rsid w:val="0098092E"/>
    <w:rsid w:val="00981571"/>
    <w:rsid w:val="009857C8"/>
    <w:rsid w:val="00985C78"/>
    <w:rsid w:val="00986305"/>
    <w:rsid w:val="00990275"/>
    <w:rsid w:val="00990927"/>
    <w:rsid w:val="00993ADD"/>
    <w:rsid w:val="00993C58"/>
    <w:rsid w:val="00997989"/>
    <w:rsid w:val="009A33FD"/>
    <w:rsid w:val="009A54C8"/>
    <w:rsid w:val="009A61A2"/>
    <w:rsid w:val="009A61F4"/>
    <w:rsid w:val="009A64DC"/>
    <w:rsid w:val="009A7389"/>
    <w:rsid w:val="009B0D17"/>
    <w:rsid w:val="009B212A"/>
    <w:rsid w:val="009B2DFC"/>
    <w:rsid w:val="009C0629"/>
    <w:rsid w:val="009C251C"/>
    <w:rsid w:val="009C27AE"/>
    <w:rsid w:val="009C3A4B"/>
    <w:rsid w:val="009C786F"/>
    <w:rsid w:val="009D0592"/>
    <w:rsid w:val="009D36AF"/>
    <w:rsid w:val="009E1155"/>
    <w:rsid w:val="009E22A1"/>
    <w:rsid w:val="009E5F27"/>
    <w:rsid w:val="009E7DD9"/>
    <w:rsid w:val="009F538E"/>
    <w:rsid w:val="00A00263"/>
    <w:rsid w:val="00A026AF"/>
    <w:rsid w:val="00A02EF6"/>
    <w:rsid w:val="00A03728"/>
    <w:rsid w:val="00A10086"/>
    <w:rsid w:val="00A11AE5"/>
    <w:rsid w:val="00A147CD"/>
    <w:rsid w:val="00A153F0"/>
    <w:rsid w:val="00A1742F"/>
    <w:rsid w:val="00A206F1"/>
    <w:rsid w:val="00A207F4"/>
    <w:rsid w:val="00A20EF2"/>
    <w:rsid w:val="00A25B48"/>
    <w:rsid w:val="00A26BA2"/>
    <w:rsid w:val="00A27D66"/>
    <w:rsid w:val="00A444E0"/>
    <w:rsid w:val="00A52AEB"/>
    <w:rsid w:val="00A60DAC"/>
    <w:rsid w:val="00A63321"/>
    <w:rsid w:val="00A6485A"/>
    <w:rsid w:val="00A7049A"/>
    <w:rsid w:val="00A808C9"/>
    <w:rsid w:val="00A84E9C"/>
    <w:rsid w:val="00A86262"/>
    <w:rsid w:val="00A86B03"/>
    <w:rsid w:val="00A91CA4"/>
    <w:rsid w:val="00AA3497"/>
    <w:rsid w:val="00AA4E87"/>
    <w:rsid w:val="00AA59ED"/>
    <w:rsid w:val="00AB0CA1"/>
    <w:rsid w:val="00AB1723"/>
    <w:rsid w:val="00AB258D"/>
    <w:rsid w:val="00AB520C"/>
    <w:rsid w:val="00AB605C"/>
    <w:rsid w:val="00AC06E6"/>
    <w:rsid w:val="00AC53FD"/>
    <w:rsid w:val="00AC573B"/>
    <w:rsid w:val="00AD0803"/>
    <w:rsid w:val="00AD2A53"/>
    <w:rsid w:val="00AD3DDD"/>
    <w:rsid w:val="00AD727A"/>
    <w:rsid w:val="00AE36BB"/>
    <w:rsid w:val="00AE3BF4"/>
    <w:rsid w:val="00AE3BFE"/>
    <w:rsid w:val="00AE5FEE"/>
    <w:rsid w:val="00AE6E2D"/>
    <w:rsid w:val="00AF0905"/>
    <w:rsid w:val="00B0293D"/>
    <w:rsid w:val="00B029F5"/>
    <w:rsid w:val="00B03850"/>
    <w:rsid w:val="00B04928"/>
    <w:rsid w:val="00B061BF"/>
    <w:rsid w:val="00B15AA1"/>
    <w:rsid w:val="00B20E41"/>
    <w:rsid w:val="00B21009"/>
    <w:rsid w:val="00B230DB"/>
    <w:rsid w:val="00B23194"/>
    <w:rsid w:val="00B242B8"/>
    <w:rsid w:val="00B24FF9"/>
    <w:rsid w:val="00B27AF7"/>
    <w:rsid w:val="00B30691"/>
    <w:rsid w:val="00B30D0E"/>
    <w:rsid w:val="00B311CA"/>
    <w:rsid w:val="00B31659"/>
    <w:rsid w:val="00B32CD3"/>
    <w:rsid w:val="00B34932"/>
    <w:rsid w:val="00B357AB"/>
    <w:rsid w:val="00B40D04"/>
    <w:rsid w:val="00B41A2B"/>
    <w:rsid w:val="00B42F83"/>
    <w:rsid w:val="00B45D3E"/>
    <w:rsid w:val="00B4759E"/>
    <w:rsid w:val="00B50ACB"/>
    <w:rsid w:val="00B56231"/>
    <w:rsid w:val="00B63E23"/>
    <w:rsid w:val="00B63EAC"/>
    <w:rsid w:val="00B6591B"/>
    <w:rsid w:val="00B66610"/>
    <w:rsid w:val="00B7258D"/>
    <w:rsid w:val="00B72EDD"/>
    <w:rsid w:val="00B75CA7"/>
    <w:rsid w:val="00B841B4"/>
    <w:rsid w:val="00B95AFA"/>
    <w:rsid w:val="00BA0550"/>
    <w:rsid w:val="00BA50FF"/>
    <w:rsid w:val="00BA56C1"/>
    <w:rsid w:val="00BA5875"/>
    <w:rsid w:val="00BB1869"/>
    <w:rsid w:val="00BB6C60"/>
    <w:rsid w:val="00BC0CED"/>
    <w:rsid w:val="00BC5194"/>
    <w:rsid w:val="00BC5C3C"/>
    <w:rsid w:val="00BD1A22"/>
    <w:rsid w:val="00BD2446"/>
    <w:rsid w:val="00BD2709"/>
    <w:rsid w:val="00BD65DF"/>
    <w:rsid w:val="00BD6FA1"/>
    <w:rsid w:val="00BE3067"/>
    <w:rsid w:val="00BE31CF"/>
    <w:rsid w:val="00BE3F39"/>
    <w:rsid w:val="00BE64AB"/>
    <w:rsid w:val="00BE657C"/>
    <w:rsid w:val="00BF1F3F"/>
    <w:rsid w:val="00BF27EB"/>
    <w:rsid w:val="00BF3599"/>
    <w:rsid w:val="00C024A3"/>
    <w:rsid w:val="00C04E56"/>
    <w:rsid w:val="00C067E8"/>
    <w:rsid w:val="00C12C1B"/>
    <w:rsid w:val="00C1566B"/>
    <w:rsid w:val="00C2061B"/>
    <w:rsid w:val="00C20C1E"/>
    <w:rsid w:val="00C2216D"/>
    <w:rsid w:val="00C236C2"/>
    <w:rsid w:val="00C25DD2"/>
    <w:rsid w:val="00C269E2"/>
    <w:rsid w:val="00C32BD8"/>
    <w:rsid w:val="00C346EE"/>
    <w:rsid w:val="00C44614"/>
    <w:rsid w:val="00C5090E"/>
    <w:rsid w:val="00C52970"/>
    <w:rsid w:val="00C561AE"/>
    <w:rsid w:val="00C57F8E"/>
    <w:rsid w:val="00C61095"/>
    <w:rsid w:val="00C61B93"/>
    <w:rsid w:val="00C61CF5"/>
    <w:rsid w:val="00C62F93"/>
    <w:rsid w:val="00C67EFB"/>
    <w:rsid w:val="00C7080B"/>
    <w:rsid w:val="00C733E3"/>
    <w:rsid w:val="00C75A21"/>
    <w:rsid w:val="00C8005A"/>
    <w:rsid w:val="00C826B5"/>
    <w:rsid w:val="00C82ACF"/>
    <w:rsid w:val="00C85EDC"/>
    <w:rsid w:val="00C87C69"/>
    <w:rsid w:val="00C9215F"/>
    <w:rsid w:val="00C92974"/>
    <w:rsid w:val="00CA0068"/>
    <w:rsid w:val="00CA00CA"/>
    <w:rsid w:val="00CA0225"/>
    <w:rsid w:val="00CA2B57"/>
    <w:rsid w:val="00CA2ED6"/>
    <w:rsid w:val="00CA3A7D"/>
    <w:rsid w:val="00CA430E"/>
    <w:rsid w:val="00CA5581"/>
    <w:rsid w:val="00CB1E06"/>
    <w:rsid w:val="00CB30F7"/>
    <w:rsid w:val="00CB4114"/>
    <w:rsid w:val="00CC190D"/>
    <w:rsid w:val="00CC2DE5"/>
    <w:rsid w:val="00CC3393"/>
    <w:rsid w:val="00CC7E43"/>
    <w:rsid w:val="00CD1F72"/>
    <w:rsid w:val="00CD33E4"/>
    <w:rsid w:val="00CD42C3"/>
    <w:rsid w:val="00CE03E2"/>
    <w:rsid w:val="00CE13AB"/>
    <w:rsid w:val="00CE4ECB"/>
    <w:rsid w:val="00CE518E"/>
    <w:rsid w:val="00CE5CC3"/>
    <w:rsid w:val="00CE7524"/>
    <w:rsid w:val="00CE7D94"/>
    <w:rsid w:val="00CF0708"/>
    <w:rsid w:val="00D04AFA"/>
    <w:rsid w:val="00D10EEF"/>
    <w:rsid w:val="00D10FB5"/>
    <w:rsid w:val="00D155AD"/>
    <w:rsid w:val="00D16329"/>
    <w:rsid w:val="00D16C3C"/>
    <w:rsid w:val="00D227AB"/>
    <w:rsid w:val="00D24F4A"/>
    <w:rsid w:val="00D267F0"/>
    <w:rsid w:val="00D2746F"/>
    <w:rsid w:val="00D33325"/>
    <w:rsid w:val="00D341F0"/>
    <w:rsid w:val="00D34ED1"/>
    <w:rsid w:val="00D41C43"/>
    <w:rsid w:val="00D41FEA"/>
    <w:rsid w:val="00D51AC0"/>
    <w:rsid w:val="00D57035"/>
    <w:rsid w:val="00D67E6E"/>
    <w:rsid w:val="00D74044"/>
    <w:rsid w:val="00D74C83"/>
    <w:rsid w:val="00D76AC9"/>
    <w:rsid w:val="00D77AD3"/>
    <w:rsid w:val="00D821AD"/>
    <w:rsid w:val="00D843A3"/>
    <w:rsid w:val="00D90465"/>
    <w:rsid w:val="00D952FE"/>
    <w:rsid w:val="00D9740E"/>
    <w:rsid w:val="00DA03A2"/>
    <w:rsid w:val="00DA10AB"/>
    <w:rsid w:val="00DA1107"/>
    <w:rsid w:val="00DA5892"/>
    <w:rsid w:val="00DB4346"/>
    <w:rsid w:val="00DB5975"/>
    <w:rsid w:val="00DC1349"/>
    <w:rsid w:val="00DC35C8"/>
    <w:rsid w:val="00DC408C"/>
    <w:rsid w:val="00DC4620"/>
    <w:rsid w:val="00DC6549"/>
    <w:rsid w:val="00DD0F89"/>
    <w:rsid w:val="00DD1DF8"/>
    <w:rsid w:val="00DD61AE"/>
    <w:rsid w:val="00DE0E04"/>
    <w:rsid w:val="00DE0E26"/>
    <w:rsid w:val="00DE2E1C"/>
    <w:rsid w:val="00DE3B22"/>
    <w:rsid w:val="00DF0A7B"/>
    <w:rsid w:val="00DF4A23"/>
    <w:rsid w:val="00DF4CAC"/>
    <w:rsid w:val="00DF4F67"/>
    <w:rsid w:val="00E00F98"/>
    <w:rsid w:val="00E01236"/>
    <w:rsid w:val="00E02492"/>
    <w:rsid w:val="00E02C53"/>
    <w:rsid w:val="00E03872"/>
    <w:rsid w:val="00E039C1"/>
    <w:rsid w:val="00E04050"/>
    <w:rsid w:val="00E06399"/>
    <w:rsid w:val="00E16254"/>
    <w:rsid w:val="00E168D4"/>
    <w:rsid w:val="00E22709"/>
    <w:rsid w:val="00E22BCD"/>
    <w:rsid w:val="00E25382"/>
    <w:rsid w:val="00E25F92"/>
    <w:rsid w:val="00E26368"/>
    <w:rsid w:val="00E27E51"/>
    <w:rsid w:val="00E318FC"/>
    <w:rsid w:val="00E334CD"/>
    <w:rsid w:val="00E33D09"/>
    <w:rsid w:val="00E37661"/>
    <w:rsid w:val="00E37892"/>
    <w:rsid w:val="00E37A94"/>
    <w:rsid w:val="00E412B7"/>
    <w:rsid w:val="00E415E9"/>
    <w:rsid w:val="00E45402"/>
    <w:rsid w:val="00E47BD6"/>
    <w:rsid w:val="00E52CC2"/>
    <w:rsid w:val="00E537D8"/>
    <w:rsid w:val="00E56D8B"/>
    <w:rsid w:val="00E578C8"/>
    <w:rsid w:val="00E61CBE"/>
    <w:rsid w:val="00E64647"/>
    <w:rsid w:val="00E73EC7"/>
    <w:rsid w:val="00E75552"/>
    <w:rsid w:val="00E75600"/>
    <w:rsid w:val="00E80409"/>
    <w:rsid w:val="00E92186"/>
    <w:rsid w:val="00E97524"/>
    <w:rsid w:val="00EA63E8"/>
    <w:rsid w:val="00EA6409"/>
    <w:rsid w:val="00EB2399"/>
    <w:rsid w:val="00EB3BCD"/>
    <w:rsid w:val="00EB4AF6"/>
    <w:rsid w:val="00EB7C8B"/>
    <w:rsid w:val="00EC1F92"/>
    <w:rsid w:val="00EC64FD"/>
    <w:rsid w:val="00ED18D5"/>
    <w:rsid w:val="00ED2A6E"/>
    <w:rsid w:val="00EE0DC9"/>
    <w:rsid w:val="00EE0E40"/>
    <w:rsid w:val="00EE353C"/>
    <w:rsid w:val="00EE3582"/>
    <w:rsid w:val="00EE7549"/>
    <w:rsid w:val="00EF2543"/>
    <w:rsid w:val="00EF3CEA"/>
    <w:rsid w:val="00EF4E0A"/>
    <w:rsid w:val="00F0291C"/>
    <w:rsid w:val="00F05BEF"/>
    <w:rsid w:val="00F07BFB"/>
    <w:rsid w:val="00F103CE"/>
    <w:rsid w:val="00F126FD"/>
    <w:rsid w:val="00F1527A"/>
    <w:rsid w:val="00F20E1B"/>
    <w:rsid w:val="00F26698"/>
    <w:rsid w:val="00F30AD7"/>
    <w:rsid w:val="00F30C82"/>
    <w:rsid w:val="00F31E2F"/>
    <w:rsid w:val="00F3243D"/>
    <w:rsid w:val="00F34FE6"/>
    <w:rsid w:val="00F361EA"/>
    <w:rsid w:val="00F37785"/>
    <w:rsid w:val="00F4056E"/>
    <w:rsid w:val="00F432D5"/>
    <w:rsid w:val="00F435C8"/>
    <w:rsid w:val="00F44344"/>
    <w:rsid w:val="00F443A1"/>
    <w:rsid w:val="00F47D7D"/>
    <w:rsid w:val="00F522E6"/>
    <w:rsid w:val="00F52D9D"/>
    <w:rsid w:val="00F53476"/>
    <w:rsid w:val="00F540D9"/>
    <w:rsid w:val="00F578E3"/>
    <w:rsid w:val="00F62EF0"/>
    <w:rsid w:val="00F649D2"/>
    <w:rsid w:val="00F67177"/>
    <w:rsid w:val="00F759BD"/>
    <w:rsid w:val="00F76583"/>
    <w:rsid w:val="00F76DC5"/>
    <w:rsid w:val="00F86FDC"/>
    <w:rsid w:val="00F878D5"/>
    <w:rsid w:val="00F900D2"/>
    <w:rsid w:val="00F9208C"/>
    <w:rsid w:val="00F927F6"/>
    <w:rsid w:val="00FA5D75"/>
    <w:rsid w:val="00FA66DB"/>
    <w:rsid w:val="00FB3049"/>
    <w:rsid w:val="00FB3B24"/>
    <w:rsid w:val="00FB6B88"/>
    <w:rsid w:val="00FC2EA4"/>
    <w:rsid w:val="00FC2FC8"/>
    <w:rsid w:val="00FC4A29"/>
    <w:rsid w:val="00FD1C0B"/>
    <w:rsid w:val="00FD3701"/>
    <w:rsid w:val="00FD50A4"/>
    <w:rsid w:val="00FD51E9"/>
    <w:rsid w:val="00FE2C67"/>
    <w:rsid w:val="00FE2FBD"/>
    <w:rsid w:val="00FE3E42"/>
    <w:rsid w:val="00FE47BB"/>
    <w:rsid w:val="00FE4804"/>
    <w:rsid w:val="00FF5991"/>
    <w:rsid w:val="00FF5D2C"/>
    <w:rsid w:val="00FF6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9220"/>
    <o:shapelayout v:ext="edit">
      <o:idmap v:ext="edit" data="1"/>
    </o:shapelayout>
  </w:shapeDefaults>
  <w:decimalSymbol w:val=","/>
  <w:listSeparator w:val=";"/>
  <w14:docId w14:val="1601C62D"/>
  <w15:chartTrackingRefBased/>
  <w15:docId w15:val="{15E876BE-BA21-45CD-AF50-A12000F7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spacing w:line="360" w:lineRule="atLeast"/>
      <w:ind w:left="1418" w:right="447"/>
      <w:jc w:val="center"/>
      <w:outlineLvl w:val="0"/>
    </w:pPr>
    <w:rPr>
      <w:rFonts w:ascii="Times" w:hAnsi="Times"/>
      <w:b/>
      <w:sz w:val="24"/>
    </w:rPr>
  </w:style>
  <w:style w:type="paragraph" w:styleId="Titolo2">
    <w:name w:val="heading 2"/>
    <w:basedOn w:val="Normale"/>
    <w:next w:val="Normale"/>
    <w:qFormat/>
    <w:pPr>
      <w:keepNext/>
      <w:tabs>
        <w:tab w:val="left" w:pos="-3174"/>
        <w:tab w:val="left" w:pos="-2754"/>
        <w:tab w:val="left" w:pos="-2328"/>
        <w:tab w:val="left" w:pos="-1902"/>
        <w:tab w:val="left" w:pos="-1476"/>
        <w:tab w:val="left" w:pos="-1050"/>
        <w:tab w:val="left" w:pos="-624"/>
        <w:tab w:val="left" w:pos="-204"/>
      </w:tabs>
      <w:spacing w:line="360" w:lineRule="atLeast"/>
      <w:ind w:left="1985" w:right="447" w:hanging="567"/>
      <w:jc w:val="both"/>
      <w:outlineLvl w:val="1"/>
    </w:pPr>
    <w:rPr>
      <w:rFonts w:ascii="Times New" w:hAnsi="Times New"/>
      <w:b/>
      <w:sz w:val="24"/>
    </w:rPr>
  </w:style>
  <w:style w:type="paragraph" w:styleId="Titolo3">
    <w:name w:val="heading 3"/>
    <w:basedOn w:val="Normale"/>
    <w:next w:val="Normale"/>
    <w:qFormat/>
    <w:pPr>
      <w:keepNext/>
      <w:tabs>
        <w:tab w:val="left" w:pos="-3174"/>
        <w:tab w:val="left" w:pos="-2754"/>
        <w:tab w:val="left" w:pos="-2328"/>
        <w:tab w:val="left" w:pos="-1902"/>
        <w:tab w:val="left" w:pos="-1476"/>
        <w:tab w:val="left" w:pos="-1050"/>
        <w:tab w:val="left" w:pos="-624"/>
        <w:tab w:val="left" w:pos="-204"/>
      </w:tabs>
      <w:spacing w:line="360" w:lineRule="atLeast"/>
      <w:ind w:left="1418" w:right="447"/>
      <w:jc w:val="center"/>
      <w:outlineLvl w:val="2"/>
    </w:pPr>
    <w:rPr>
      <w:rFonts w:ascii="Times New" w:hAnsi="Times New"/>
      <w:b/>
      <w:sz w:val="28"/>
    </w:rPr>
  </w:style>
  <w:style w:type="paragraph" w:styleId="Titolo4">
    <w:name w:val="heading 4"/>
    <w:basedOn w:val="Normale"/>
    <w:next w:val="Normale"/>
    <w:qFormat/>
    <w:pPr>
      <w:keepNext/>
      <w:tabs>
        <w:tab w:val="left" w:pos="-3174"/>
        <w:tab w:val="left" w:pos="-2754"/>
        <w:tab w:val="left" w:pos="-2328"/>
        <w:tab w:val="left" w:pos="-1902"/>
        <w:tab w:val="left" w:pos="-1476"/>
        <w:tab w:val="left" w:pos="-1050"/>
        <w:tab w:val="left" w:pos="-624"/>
        <w:tab w:val="left" w:pos="-204"/>
      </w:tabs>
      <w:spacing w:line="360" w:lineRule="atLeast"/>
      <w:ind w:left="1418" w:right="447"/>
      <w:jc w:val="both"/>
      <w:outlineLvl w:val="3"/>
    </w:pPr>
    <w:rPr>
      <w:rFonts w:ascii="Times New" w:hAnsi="Times New"/>
      <w:b/>
      <w:sz w:val="28"/>
    </w:rPr>
  </w:style>
  <w:style w:type="paragraph" w:styleId="Titolo5">
    <w:name w:val="heading 5"/>
    <w:basedOn w:val="Normale"/>
    <w:next w:val="Normale"/>
    <w:qFormat/>
    <w:pPr>
      <w:keepNext/>
      <w:tabs>
        <w:tab w:val="left" w:pos="-2754"/>
        <w:tab w:val="left" w:pos="-2328"/>
        <w:tab w:val="left" w:pos="-1902"/>
        <w:tab w:val="left" w:pos="-1476"/>
        <w:tab w:val="left" w:pos="-1050"/>
        <w:tab w:val="left" w:pos="-624"/>
        <w:tab w:val="left" w:pos="-204"/>
        <w:tab w:val="left" w:pos="567"/>
        <w:tab w:val="left" w:pos="1134"/>
      </w:tabs>
      <w:spacing w:line="360" w:lineRule="atLeast"/>
      <w:ind w:left="1418" w:right="447" w:hanging="1134"/>
      <w:jc w:val="both"/>
      <w:outlineLvl w:val="4"/>
    </w:pPr>
    <w:rPr>
      <w:rFonts w:ascii="Times New" w:hAnsi="Times New"/>
      <w:b/>
      <w:sz w:val="24"/>
    </w:rPr>
  </w:style>
  <w:style w:type="paragraph" w:styleId="Titolo6">
    <w:name w:val="heading 6"/>
    <w:basedOn w:val="Normale"/>
    <w:next w:val="Normale"/>
    <w:qFormat/>
    <w:pPr>
      <w:keepNext/>
      <w:spacing w:line="360" w:lineRule="atLeast"/>
      <w:ind w:left="1418" w:right="447"/>
      <w:jc w:val="center"/>
      <w:outlineLvl w:val="5"/>
    </w:pPr>
    <w:rPr>
      <w:b/>
      <w:color w:val="008000"/>
      <w:sz w:val="36"/>
    </w:rPr>
  </w:style>
  <w:style w:type="paragraph" w:styleId="Titolo7">
    <w:name w:val="heading 7"/>
    <w:basedOn w:val="Normale"/>
    <w:next w:val="Normale"/>
    <w:qFormat/>
    <w:pPr>
      <w:keepNext/>
      <w:tabs>
        <w:tab w:val="left" w:pos="-3174"/>
        <w:tab w:val="left" w:pos="-2754"/>
        <w:tab w:val="left" w:pos="-2328"/>
        <w:tab w:val="left" w:pos="-1902"/>
        <w:tab w:val="left" w:pos="-1476"/>
        <w:tab w:val="left" w:pos="-1050"/>
        <w:tab w:val="left" w:pos="-624"/>
        <w:tab w:val="left" w:pos="-204"/>
      </w:tabs>
      <w:spacing w:line="360" w:lineRule="atLeast"/>
      <w:ind w:left="1418" w:right="447"/>
      <w:jc w:val="both"/>
      <w:outlineLvl w:val="6"/>
    </w:pPr>
    <w:rPr>
      <w:rFonts w:ascii="Times New" w:hAnsi="Times New"/>
      <w:b/>
      <w:color w:val="0000FF"/>
      <w:sz w:val="24"/>
      <w:u w:val="single"/>
    </w:rPr>
  </w:style>
  <w:style w:type="paragraph" w:styleId="Titolo8">
    <w:name w:val="heading 8"/>
    <w:basedOn w:val="Normale"/>
    <w:next w:val="Normale"/>
    <w:qFormat/>
    <w:pPr>
      <w:keepNext/>
      <w:tabs>
        <w:tab w:val="center" w:pos="8505"/>
      </w:tabs>
      <w:spacing w:line="240" w:lineRule="atLeast"/>
      <w:ind w:left="1418" w:right="448"/>
      <w:jc w:val="both"/>
      <w:outlineLvl w:val="7"/>
    </w:pPr>
    <w:rPr>
      <w:rFonts w:ascii="Times New" w:hAnsi="Times New"/>
      <w:b/>
      <w:sz w:val="24"/>
    </w:rPr>
  </w:style>
  <w:style w:type="paragraph" w:styleId="Titolo9">
    <w:name w:val="heading 9"/>
    <w:basedOn w:val="Normale"/>
    <w:next w:val="Normale"/>
    <w:qFormat/>
    <w:pPr>
      <w:keepNext/>
      <w:tabs>
        <w:tab w:val="left" w:pos="-3174"/>
        <w:tab w:val="left" w:pos="-2754"/>
        <w:tab w:val="left" w:pos="-2328"/>
        <w:tab w:val="left" w:pos="-1902"/>
        <w:tab w:val="left" w:pos="-1476"/>
        <w:tab w:val="left" w:pos="-1050"/>
        <w:tab w:val="left" w:pos="-624"/>
        <w:tab w:val="left" w:pos="-204"/>
      </w:tabs>
      <w:spacing w:line="360" w:lineRule="atLeast"/>
      <w:ind w:left="1418" w:right="447"/>
      <w:jc w:val="both"/>
      <w:outlineLvl w:val="8"/>
    </w:pPr>
    <w:rPr>
      <w:rFonts w:ascii="Times New" w:hAnsi="Times New"/>
      <w:b/>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delblocco">
    <w:name w:val="Block Text"/>
    <w:basedOn w:val="Normale"/>
    <w:semiHidden/>
    <w:pPr>
      <w:tabs>
        <w:tab w:val="left" w:pos="-3174"/>
        <w:tab w:val="left" w:pos="-2754"/>
        <w:tab w:val="left" w:pos="-2328"/>
        <w:tab w:val="left" w:pos="-1902"/>
        <w:tab w:val="left" w:pos="-1476"/>
        <w:tab w:val="left" w:pos="-1050"/>
        <w:tab w:val="left" w:pos="-624"/>
        <w:tab w:val="left" w:pos="-204"/>
      </w:tabs>
      <w:spacing w:line="360" w:lineRule="atLeast"/>
      <w:ind w:left="1985" w:right="447"/>
      <w:jc w:val="both"/>
    </w:pPr>
    <w:rPr>
      <w:rFonts w:ascii="Times New" w:hAnsi="Times New"/>
      <w:sz w:val="24"/>
    </w:rPr>
  </w:style>
  <w:style w:type="paragraph" w:customStyle="1" w:styleId="Corpodeltesto">
    <w:name w:val="Corpo del testo"/>
    <w:basedOn w:val="Normale"/>
    <w:semiHidden/>
    <w:pPr>
      <w:tabs>
        <w:tab w:val="left" w:pos="-3174"/>
        <w:tab w:val="left" w:pos="-2754"/>
        <w:tab w:val="left" w:pos="-2328"/>
        <w:tab w:val="left" w:pos="-1902"/>
        <w:tab w:val="left" w:pos="-1476"/>
        <w:tab w:val="left" w:pos="-1050"/>
        <w:tab w:val="left" w:pos="-624"/>
        <w:tab w:val="left" w:pos="-204"/>
      </w:tabs>
      <w:spacing w:line="360" w:lineRule="atLeast"/>
      <w:ind w:right="447"/>
      <w:jc w:val="both"/>
    </w:pPr>
    <w:rPr>
      <w:rFonts w:ascii="Times New" w:hAnsi="Times New"/>
      <w:sz w:val="24"/>
    </w:rPr>
  </w:style>
  <w:style w:type="character" w:styleId="Numeropagina">
    <w:name w:val="page number"/>
    <w:basedOn w:val="Carpredefinitoparagrafo"/>
    <w:semiHidden/>
  </w:style>
  <w:style w:type="paragraph" w:styleId="Rientrocorpodeltesto">
    <w:name w:val="Body Text Indent"/>
    <w:basedOn w:val="Normale"/>
    <w:semiHidden/>
    <w:pPr>
      <w:spacing w:line="360" w:lineRule="atLeast"/>
      <w:ind w:left="1418"/>
      <w:jc w:val="both"/>
    </w:pPr>
    <w:rPr>
      <w:rFonts w:ascii="Times" w:hAnsi="Times"/>
      <w:sz w:val="24"/>
    </w:rPr>
  </w:style>
  <w:style w:type="paragraph" w:styleId="Rientrocorpodeltesto2">
    <w:name w:val="Body Text Indent 2"/>
    <w:basedOn w:val="Normale"/>
    <w:link w:val="Rientrocorpodeltesto2Carattere"/>
    <w:semiHidden/>
    <w:pPr>
      <w:tabs>
        <w:tab w:val="left" w:pos="-1134"/>
        <w:tab w:val="left" w:pos="-709"/>
        <w:tab w:val="left" w:pos="-284"/>
        <w:tab w:val="left" w:pos="140"/>
        <w:tab w:val="left" w:pos="990"/>
        <w:tab w:val="left" w:pos="1416"/>
        <w:tab w:val="left" w:pos="1840"/>
        <w:tab w:val="left" w:pos="2265"/>
        <w:tab w:val="left" w:pos="2690"/>
        <w:tab w:val="left" w:pos="3115"/>
        <w:tab w:val="left" w:pos="3540"/>
        <w:tab w:val="left" w:pos="3966"/>
        <w:tab w:val="left" w:pos="4390"/>
        <w:tab w:val="left" w:pos="4815"/>
        <w:tab w:val="left" w:pos="5240"/>
        <w:tab w:val="left" w:pos="5665"/>
        <w:tab w:val="left" w:pos="6090"/>
        <w:tab w:val="left" w:pos="6516"/>
        <w:tab w:val="left" w:pos="6940"/>
        <w:tab w:val="left" w:pos="7200"/>
        <w:tab w:val="left" w:pos="7920"/>
        <w:tab w:val="left" w:pos="8640"/>
        <w:tab w:val="left" w:pos="9360"/>
      </w:tabs>
      <w:ind w:left="1701"/>
      <w:jc w:val="both"/>
    </w:pPr>
    <w:rPr>
      <w:sz w:val="24"/>
      <w:lang w:val="x-none" w:eastAsia="x-none"/>
    </w:rPr>
  </w:style>
  <w:style w:type="paragraph" w:styleId="Rientrocorpodeltesto3">
    <w:name w:val="Body Text Indent 3"/>
    <w:basedOn w:val="Normale"/>
    <w:semiHidden/>
    <w:pPr>
      <w:tabs>
        <w:tab w:val="left" w:pos="-1134"/>
        <w:tab w:val="left" w:pos="-709"/>
        <w:tab w:val="left" w:pos="-284"/>
        <w:tab w:val="left" w:pos="140"/>
        <w:tab w:val="left" w:pos="565"/>
        <w:tab w:val="left" w:pos="990"/>
        <w:tab w:val="left" w:pos="1416"/>
        <w:tab w:val="left" w:pos="1840"/>
        <w:tab w:val="left" w:pos="2265"/>
        <w:tab w:val="left" w:pos="2690"/>
        <w:tab w:val="left" w:pos="3115"/>
        <w:tab w:val="left" w:pos="3540"/>
        <w:tab w:val="left" w:pos="3966"/>
        <w:tab w:val="left" w:pos="4390"/>
        <w:tab w:val="left" w:pos="4815"/>
        <w:tab w:val="left" w:pos="5240"/>
        <w:tab w:val="left" w:pos="5665"/>
        <w:tab w:val="left" w:pos="6090"/>
        <w:tab w:val="left" w:pos="6516"/>
        <w:tab w:val="left" w:pos="6940"/>
        <w:tab w:val="left" w:pos="7200"/>
        <w:tab w:val="left" w:pos="7920"/>
        <w:tab w:val="left" w:pos="8640"/>
        <w:tab w:val="left" w:pos="9360"/>
      </w:tabs>
      <w:ind w:left="567"/>
      <w:jc w:val="both"/>
    </w:pPr>
    <w:rPr>
      <w:sz w:val="24"/>
    </w:rPr>
  </w:style>
  <w:style w:type="paragraph" w:styleId="Corpodeltesto2">
    <w:name w:val="Body Text 2"/>
    <w:basedOn w:val="Normale"/>
    <w:semiHidden/>
    <w:pPr>
      <w:jc w:val="both"/>
    </w:pPr>
    <w:rPr>
      <w:sz w:val="24"/>
    </w:rPr>
  </w:style>
  <w:style w:type="paragraph" w:styleId="Corpodeltesto3">
    <w:name w:val="Body Text 3"/>
    <w:basedOn w:val="Normale"/>
    <w:link w:val="Corpodeltesto3Carattere"/>
    <w:semiHidden/>
    <w:pPr>
      <w:tabs>
        <w:tab w:val="left" w:pos="-1134"/>
        <w:tab w:val="left" w:pos="-426"/>
        <w:tab w:val="left" w:pos="283"/>
        <w:tab w:val="left" w:pos="992"/>
        <w:tab w:val="left" w:pos="1701"/>
        <w:tab w:val="left" w:pos="2410"/>
        <w:tab w:val="left" w:pos="3120"/>
        <w:tab w:val="left" w:pos="3828"/>
        <w:tab w:val="left" w:pos="4537"/>
        <w:tab w:val="left" w:pos="5246"/>
        <w:tab w:val="left" w:pos="5955"/>
        <w:tab w:val="left" w:pos="6664"/>
        <w:tab w:val="left" w:pos="7374"/>
        <w:tab w:val="left" w:pos="8082"/>
        <w:tab w:val="left" w:pos="8791"/>
        <w:tab w:val="left" w:pos="9500"/>
        <w:tab w:val="left" w:pos="10209"/>
        <w:tab w:val="left" w:pos="10918"/>
        <w:tab w:val="left" w:pos="11628"/>
        <w:tab w:val="left" w:pos="12336"/>
      </w:tabs>
      <w:jc w:val="both"/>
    </w:pPr>
    <w:rPr>
      <w:b/>
      <w:sz w:val="22"/>
    </w:rPr>
  </w:style>
  <w:style w:type="paragraph" w:styleId="Testonormale">
    <w:name w:val="Plain Text"/>
    <w:basedOn w:val="Normale"/>
    <w:link w:val="TestonormaleCarattere"/>
    <w:semiHidden/>
    <w:rPr>
      <w:rFonts w:ascii="Courier New" w:hAnsi="Courier New"/>
    </w:rPr>
  </w:style>
  <w:style w:type="paragraph" w:styleId="Testofumetto">
    <w:name w:val="Balloon Text"/>
    <w:basedOn w:val="Normale"/>
    <w:semiHidden/>
    <w:rPr>
      <w:rFonts w:ascii="Tahoma" w:hAnsi="Tahoma" w:cs="Tahoma"/>
      <w:sz w:val="16"/>
      <w:szCs w:val="16"/>
    </w:rPr>
  </w:style>
  <w:style w:type="paragraph" w:styleId="Titolo">
    <w:name w:val="Title"/>
    <w:basedOn w:val="Normale"/>
    <w:qFormat/>
    <w:pPr>
      <w:spacing w:line="200" w:lineRule="exact"/>
      <w:jc w:val="center"/>
    </w:pPr>
    <w:rPr>
      <w:b/>
      <w:sz w:val="28"/>
    </w:rPr>
  </w:style>
  <w:style w:type="paragraph" w:styleId="Mappadocumento">
    <w:name w:val="Document Map"/>
    <w:basedOn w:val="Normale"/>
    <w:semiHidden/>
    <w:pPr>
      <w:shd w:val="clear" w:color="auto" w:fill="000080"/>
    </w:pPr>
    <w:rPr>
      <w:rFonts w:ascii="Tahoma" w:hAnsi="Tahoma"/>
    </w:rPr>
  </w:style>
  <w:style w:type="table" w:styleId="Grigliatabella">
    <w:name w:val="Table Grid"/>
    <w:basedOn w:val="Tabellanormale"/>
    <w:rsid w:val="00CD33E4"/>
    <w:rPr>
      <w:rFonts w:ascii="Times" w:eastAsia="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rsid w:val="00CD33E4"/>
    <w:rPr>
      <w:color w:val="0000FF"/>
      <w:u w:val="single"/>
    </w:rPr>
  </w:style>
  <w:style w:type="paragraph" w:customStyle="1" w:styleId="Default">
    <w:name w:val="Default"/>
    <w:rsid w:val="00CD33E4"/>
    <w:pPr>
      <w:autoSpaceDE w:val="0"/>
      <w:autoSpaceDN w:val="0"/>
      <w:adjustRightInd w:val="0"/>
    </w:pPr>
    <w:rPr>
      <w:rFonts w:ascii="Arial" w:hAnsi="Arial" w:cs="Arial"/>
      <w:color w:val="000000"/>
      <w:sz w:val="24"/>
      <w:szCs w:val="24"/>
    </w:rPr>
  </w:style>
  <w:style w:type="paragraph" w:customStyle="1" w:styleId="TITOLIMINORI">
    <w:name w:val="TITOLI MINORI"/>
    <w:basedOn w:val="Normale"/>
    <w:rsid w:val="00EB7C8B"/>
    <w:pPr>
      <w:tabs>
        <w:tab w:val="left" w:pos="567"/>
      </w:tabs>
      <w:spacing w:before="240" w:after="120" w:line="240" w:lineRule="exact"/>
      <w:ind w:left="567" w:hanging="567"/>
      <w:jc w:val="both"/>
    </w:pPr>
    <w:rPr>
      <w:rFonts w:ascii="Bookman" w:hAnsi="Bookman"/>
      <w:b/>
      <w:sz w:val="24"/>
    </w:rPr>
  </w:style>
  <w:style w:type="paragraph" w:styleId="Paragrafoelenco">
    <w:name w:val="List Paragraph"/>
    <w:basedOn w:val="Normale"/>
    <w:uiPriority w:val="34"/>
    <w:qFormat/>
    <w:rsid w:val="000900B2"/>
    <w:pPr>
      <w:spacing w:after="200" w:line="276" w:lineRule="auto"/>
      <w:ind w:left="720"/>
      <w:contextualSpacing/>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D227AB"/>
  </w:style>
  <w:style w:type="paragraph" w:customStyle="1" w:styleId="testo">
    <w:name w:val="*testo"/>
    <w:rsid w:val="00D227AB"/>
    <w:pPr>
      <w:spacing w:line="240" w:lineRule="exact"/>
      <w:jc w:val="both"/>
    </w:pPr>
    <w:rPr>
      <w:rFonts w:ascii="Imago Light" w:eastAsia="Imago Light" w:hAnsi="Imago Light"/>
    </w:rPr>
  </w:style>
  <w:style w:type="character" w:customStyle="1" w:styleId="IntestazioneCarattere">
    <w:name w:val="Intestazione Carattere"/>
    <w:basedOn w:val="Carpredefinitoparagrafo"/>
    <w:link w:val="Intestazione"/>
    <w:uiPriority w:val="99"/>
    <w:rsid w:val="00E75600"/>
  </w:style>
  <w:style w:type="paragraph" w:customStyle="1" w:styleId="Paragrafobase">
    <w:name w:val="[Paragrafo base]"/>
    <w:basedOn w:val="Normale"/>
    <w:uiPriority w:val="99"/>
    <w:rsid w:val="000C3D21"/>
    <w:pPr>
      <w:widowControl w:val="0"/>
      <w:autoSpaceDE w:val="0"/>
      <w:autoSpaceDN w:val="0"/>
      <w:adjustRightInd w:val="0"/>
      <w:spacing w:line="288" w:lineRule="auto"/>
      <w:textAlignment w:val="center"/>
    </w:pPr>
    <w:rPr>
      <w:rFonts w:ascii="MinionPro-Regular" w:eastAsia="Times" w:hAnsi="MinionPro-Regular" w:cs="MinionPro-Regular"/>
      <w:color w:val="000000"/>
      <w:sz w:val="24"/>
      <w:szCs w:val="24"/>
    </w:rPr>
  </w:style>
  <w:style w:type="character" w:customStyle="1" w:styleId="U-ZAPFDINGBALS">
    <w:name w:val="U - ZAPF DINGBALS"/>
    <w:uiPriority w:val="99"/>
    <w:rsid w:val="000C3D21"/>
    <w:rPr>
      <w:rFonts w:ascii="ZapfDingbats" w:hAnsi="ZapfDingbats" w:hint="default"/>
      <w:strike w:val="0"/>
      <w:dstrike w:val="0"/>
      <w:color w:val="000000"/>
      <w:spacing w:val="0"/>
      <w:position w:val="0"/>
      <w:u w:val="none"/>
      <w:effect w:val="none"/>
      <w:vertAlign w:val="baseline"/>
    </w:rPr>
  </w:style>
  <w:style w:type="character" w:customStyle="1" w:styleId="Rientrocorpodeltesto2Carattere">
    <w:name w:val="Rientro corpo del testo 2 Carattere"/>
    <w:link w:val="Rientrocorpodeltesto2"/>
    <w:semiHidden/>
    <w:rsid w:val="005D742F"/>
    <w:rPr>
      <w:sz w:val="24"/>
    </w:rPr>
  </w:style>
  <w:style w:type="character" w:customStyle="1" w:styleId="TestonormaleCarattere">
    <w:name w:val="Testo normale Carattere"/>
    <w:link w:val="Testonormale"/>
    <w:semiHidden/>
    <w:rsid w:val="004A3292"/>
    <w:rPr>
      <w:rFonts w:ascii="Courier New" w:hAnsi="Courier New"/>
    </w:rPr>
  </w:style>
  <w:style w:type="paragraph" w:customStyle="1" w:styleId="PUNTIRIENTRATI">
    <w:name w:val="PUNTI RIENTRATI"/>
    <w:basedOn w:val="Normale"/>
    <w:rsid w:val="004A3292"/>
    <w:pPr>
      <w:tabs>
        <w:tab w:val="left" w:pos="1134"/>
      </w:tabs>
      <w:spacing w:line="240" w:lineRule="exact"/>
      <w:ind w:left="1134" w:hanging="567"/>
      <w:jc w:val="both"/>
    </w:pPr>
    <w:rPr>
      <w:rFonts w:ascii="Bookman" w:hAnsi="Bookman"/>
      <w:sz w:val="24"/>
    </w:rPr>
  </w:style>
  <w:style w:type="paragraph" w:customStyle="1" w:styleId="CM1">
    <w:name w:val="CM1"/>
    <w:basedOn w:val="Default"/>
    <w:next w:val="Default"/>
    <w:uiPriority w:val="99"/>
    <w:rsid w:val="00B23194"/>
    <w:pPr>
      <w:widowControl w:val="0"/>
      <w:spacing w:line="196" w:lineRule="atLeast"/>
    </w:pPr>
    <w:rPr>
      <w:color w:val="auto"/>
    </w:rPr>
  </w:style>
  <w:style w:type="paragraph" w:customStyle="1" w:styleId="CM3">
    <w:name w:val="CM3"/>
    <w:basedOn w:val="Default"/>
    <w:next w:val="Default"/>
    <w:uiPriority w:val="99"/>
    <w:rsid w:val="00B23194"/>
    <w:pPr>
      <w:widowControl w:val="0"/>
      <w:spacing w:line="196" w:lineRule="atLeast"/>
    </w:pPr>
    <w:rPr>
      <w:color w:val="auto"/>
    </w:rPr>
  </w:style>
  <w:style w:type="paragraph" w:customStyle="1" w:styleId="CM6">
    <w:name w:val="CM6"/>
    <w:basedOn w:val="Default"/>
    <w:next w:val="Default"/>
    <w:uiPriority w:val="99"/>
    <w:rsid w:val="00B23194"/>
    <w:pPr>
      <w:widowControl w:val="0"/>
    </w:pPr>
    <w:rPr>
      <w:color w:val="auto"/>
    </w:rPr>
  </w:style>
  <w:style w:type="paragraph" w:customStyle="1" w:styleId="CM4">
    <w:name w:val="CM4"/>
    <w:basedOn w:val="Default"/>
    <w:next w:val="Default"/>
    <w:uiPriority w:val="99"/>
    <w:rsid w:val="00B23194"/>
    <w:pPr>
      <w:widowControl w:val="0"/>
      <w:spacing w:line="193" w:lineRule="atLeast"/>
    </w:pPr>
    <w:rPr>
      <w:color w:val="auto"/>
    </w:rPr>
  </w:style>
  <w:style w:type="character" w:customStyle="1" w:styleId="Corpodeltesto3Carattere">
    <w:name w:val="Corpo del testo 3 Carattere"/>
    <w:link w:val="Corpodeltesto3"/>
    <w:semiHidden/>
    <w:rsid w:val="00F05BEF"/>
    <w:rPr>
      <w:b/>
      <w:sz w:val="22"/>
    </w:rPr>
  </w:style>
  <w:style w:type="paragraph" w:styleId="Sommario2">
    <w:name w:val="toc 2"/>
    <w:basedOn w:val="Normale"/>
    <w:next w:val="Normale"/>
    <w:autoRedefine/>
    <w:uiPriority w:val="39"/>
    <w:unhideWhenUsed/>
    <w:rsid w:val="00F05BEF"/>
    <w:pPr>
      <w:ind w:left="220"/>
    </w:pPr>
    <w:rPr>
      <w:rFonts w:ascii="Tahoma" w:eastAsia="Arial" w:hAnsi="Tahoma" w:cs="Arial"/>
      <w:sz w:val="22"/>
    </w:rPr>
  </w:style>
  <w:style w:type="paragraph" w:styleId="Sommario1">
    <w:name w:val="toc 1"/>
    <w:basedOn w:val="Normale"/>
    <w:next w:val="Normale"/>
    <w:autoRedefine/>
    <w:uiPriority w:val="39"/>
    <w:unhideWhenUsed/>
    <w:rsid w:val="00373CAA"/>
    <w:pPr>
      <w:tabs>
        <w:tab w:val="right" w:leader="dot" w:pos="10489"/>
      </w:tabs>
    </w:pPr>
    <w:rPr>
      <w:rFonts w:ascii="Titillium Up" w:eastAsia="Arial" w:hAnsi="Titillium Up" w:cs="Arial"/>
      <w:b/>
      <w:bCs/>
      <w:sz w:val="24"/>
      <w:szCs w:val="24"/>
    </w:rPr>
  </w:style>
  <w:style w:type="paragraph" w:customStyle="1" w:styleId="Corpodeltesto21">
    <w:name w:val="Corpo del testo 21"/>
    <w:basedOn w:val="Normale"/>
    <w:rsid w:val="00E06399"/>
    <w:pPr>
      <w:overflowPunct w:val="0"/>
      <w:autoSpaceDE w:val="0"/>
      <w:autoSpaceDN w:val="0"/>
      <w:adjustRightInd w:val="0"/>
      <w:ind w:left="360" w:hanging="360"/>
      <w:jc w:val="both"/>
      <w:textAlignment w:val="baseline"/>
    </w:pPr>
    <w:rPr>
      <w:sz w:val="24"/>
    </w:rPr>
  </w:style>
  <w:style w:type="paragraph" w:styleId="PreformattatoHTML">
    <w:name w:val="HTML Preformatted"/>
    <w:basedOn w:val="Normale"/>
    <w:link w:val="PreformattatoHTMLCarattere"/>
    <w:rsid w:val="00E0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link w:val="PreformattatoHTML"/>
    <w:rsid w:val="00E06399"/>
    <w:rPr>
      <w:rFonts w:ascii="Courier New" w:hAnsi="Courier New" w:cs="Courier New"/>
    </w:rPr>
  </w:style>
  <w:style w:type="paragraph" w:styleId="Titolosommario">
    <w:name w:val="TOC Heading"/>
    <w:basedOn w:val="Titolo1"/>
    <w:next w:val="Normale"/>
    <w:uiPriority w:val="39"/>
    <w:unhideWhenUsed/>
    <w:qFormat/>
    <w:rsid w:val="00B7258D"/>
    <w:pPr>
      <w:keepLines/>
      <w:spacing w:before="240" w:line="259" w:lineRule="auto"/>
      <w:ind w:left="0" w:right="0"/>
      <w:jc w:val="left"/>
      <w:outlineLvl w:val="9"/>
    </w:pPr>
    <w:rPr>
      <w:rFonts w:ascii="Calibri Light" w:hAnsi="Calibri Light"/>
      <w:b w:val="0"/>
      <w:color w:val="2F5496"/>
      <w:sz w:val="32"/>
      <w:szCs w:val="32"/>
    </w:rPr>
  </w:style>
  <w:style w:type="paragraph" w:styleId="Sommario3">
    <w:name w:val="toc 3"/>
    <w:basedOn w:val="Normale"/>
    <w:next w:val="Normale"/>
    <w:autoRedefine/>
    <w:uiPriority w:val="39"/>
    <w:unhideWhenUsed/>
    <w:rsid w:val="00B7258D"/>
    <w:pPr>
      <w:spacing w:after="100" w:line="259"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40476">
      <w:bodyDiv w:val="1"/>
      <w:marLeft w:val="0"/>
      <w:marRight w:val="0"/>
      <w:marTop w:val="0"/>
      <w:marBottom w:val="0"/>
      <w:divBdr>
        <w:top w:val="none" w:sz="0" w:space="0" w:color="auto"/>
        <w:left w:val="none" w:sz="0" w:space="0" w:color="auto"/>
        <w:bottom w:val="none" w:sz="0" w:space="0" w:color="auto"/>
        <w:right w:val="none" w:sz="0" w:space="0" w:color="auto"/>
      </w:divBdr>
    </w:div>
    <w:div w:id="1244684986">
      <w:bodyDiv w:val="1"/>
      <w:marLeft w:val="0"/>
      <w:marRight w:val="0"/>
      <w:marTop w:val="0"/>
      <w:marBottom w:val="0"/>
      <w:divBdr>
        <w:top w:val="none" w:sz="0" w:space="0" w:color="auto"/>
        <w:left w:val="none" w:sz="0" w:space="0" w:color="auto"/>
        <w:bottom w:val="none" w:sz="0" w:space="0" w:color="auto"/>
        <w:right w:val="none" w:sz="0" w:space="0" w:color="auto"/>
      </w:divBdr>
    </w:div>
    <w:div w:id="13670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632C2577-862B-4A37-936C-D36CB8D97C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8.png"/><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70D40-15B6-489A-AA10-6ACE074C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3894</Words>
  <Characters>23992</Characters>
  <Application>Microsoft Office Word</Application>
  <DocSecurity>0</DocSecurity>
  <Lines>199</Lines>
  <Paragraphs>55</Paragraphs>
  <ScaleCrop>false</ScaleCrop>
  <HeadingPairs>
    <vt:vector size="2" baseType="variant">
      <vt:variant>
        <vt:lpstr>Titolo</vt:lpstr>
      </vt:variant>
      <vt:variant>
        <vt:i4>1</vt:i4>
      </vt:variant>
    </vt:vector>
  </HeadingPairs>
  <TitlesOfParts>
    <vt:vector size="1" baseType="lpstr">
      <vt:lpstr>AGENZIA DI</vt:lpstr>
    </vt:vector>
  </TitlesOfParts>
  <Company>.</Company>
  <LinksUpToDate>false</LinksUpToDate>
  <CharactersWithSpaces>27831</CharactersWithSpaces>
  <SharedDoc>false</SharedDoc>
  <HLinks>
    <vt:vector size="6" baseType="variant">
      <vt:variant>
        <vt:i4>327682</vt:i4>
      </vt:variant>
      <vt:variant>
        <vt:i4>-1</vt:i4>
      </vt:variant>
      <vt:variant>
        <vt:i4>1055</vt:i4>
      </vt:variant>
      <vt:variant>
        <vt:i4>1</vt:i4>
      </vt:variant>
      <vt:variant>
        <vt:lpwstr>cid:632C2577-862B-4A37-936C-D36CB8D97CDE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AGENZIA DI</dc:title>
  <dc:subject/>
  <dc:creator>Mauro Morando</dc:creator>
  <cp:keywords/>
  <cp:lastModifiedBy>Andrea Morra di Cella</cp:lastModifiedBy>
  <cp:revision>6</cp:revision>
  <cp:lastPrinted>2018-03-08T13:14:00Z</cp:lastPrinted>
  <dcterms:created xsi:type="dcterms:W3CDTF">2020-12-21T14:23:00Z</dcterms:created>
  <dcterms:modified xsi:type="dcterms:W3CDTF">2021-11-05T15:14:00Z</dcterms:modified>
</cp:coreProperties>
</file>